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CF" w:rsidRPr="007E37EA" w:rsidRDefault="00970A5A" w:rsidP="008E19E0">
      <w:pPr>
        <w:pStyle w:val="Heading1"/>
        <w:keepNext w:val="0"/>
        <w:keepLines w:val="0"/>
        <w:widowControl w:val="0"/>
        <w:spacing w:after="120"/>
        <w:jc w:val="both"/>
        <w:rPr>
          <w:rFonts w:ascii="Times New Roman" w:hAnsi="Times New Roman"/>
          <w:color w:val="auto"/>
          <w:lang w:val="bg-BG"/>
        </w:rPr>
      </w:pPr>
      <w:bookmarkStart w:id="0" w:name="_Toc273694428"/>
      <w:bookmarkStart w:id="1" w:name="_Toc273695171"/>
      <w:bookmarkStart w:id="2" w:name="_Toc273695227"/>
      <w:bookmarkStart w:id="3" w:name="_Ref374553835"/>
      <w:bookmarkStart w:id="4" w:name="_Toc480904905"/>
      <w:bookmarkStart w:id="5" w:name="_GoBack"/>
      <w:bookmarkEnd w:id="5"/>
      <w:r w:rsidRPr="007E37EA">
        <w:rPr>
          <w:rFonts w:ascii="Times New Roman" w:hAnsi="Times New Roman"/>
          <w:color w:val="auto"/>
          <w:lang w:val="bg-BG"/>
        </w:rPr>
        <w:t>Бел</w:t>
      </w:r>
      <w:bookmarkEnd w:id="0"/>
      <w:bookmarkEnd w:id="1"/>
      <w:bookmarkEnd w:id="2"/>
      <w:r w:rsidR="004865E9" w:rsidRPr="007E37EA">
        <w:rPr>
          <w:rFonts w:ascii="Times New Roman" w:hAnsi="Times New Roman"/>
          <w:color w:val="auto"/>
          <w:lang w:val="bg-BG"/>
        </w:rPr>
        <w:t>ежки към финансовия отчет</w:t>
      </w:r>
      <w:bookmarkEnd w:id="3"/>
      <w:bookmarkEnd w:id="4"/>
    </w:p>
    <w:p w:rsidR="00E92F4C" w:rsidRDefault="00624ED0">
      <w:pPr>
        <w:pStyle w:val="TOC1"/>
        <w:rPr>
          <w:rFonts w:asciiTheme="minorHAnsi" w:eastAsiaTheme="minorEastAsia" w:hAnsiTheme="minorHAnsi" w:cstheme="minorBidi"/>
          <w:noProof/>
        </w:rPr>
      </w:pPr>
      <w:r w:rsidRPr="007E37EA">
        <w:rPr>
          <w:lang w:val="bg-BG"/>
        </w:rPr>
        <w:fldChar w:fldCharType="begin"/>
      </w:r>
      <w:r w:rsidR="00965A33" w:rsidRPr="007E37EA">
        <w:rPr>
          <w:lang w:val="bg-BG"/>
        </w:rPr>
        <w:instrText xml:space="preserve"> TOC \h \z \u \t "Heading 2,1" </w:instrText>
      </w:r>
      <w:r w:rsidRPr="007E37EA">
        <w:rPr>
          <w:lang w:val="bg-BG"/>
        </w:rPr>
        <w:fldChar w:fldCharType="separate"/>
      </w:r>
      <w:hyperlink w:anchor="_Toc515965319" w:history="1">
        <w:r w:rsidR="00E92F4C" w:rsidRPr="00FB6A9A">
          <w:rPr>
            <w:rStyle w:val="Hyperlink"/>
            <w:noProof/>
            <w:lang w:val="bg-BG"/>
          </w:rPr>
          <w:t>1.</w:t>
        </w:r>
        <w:r w:rsidR="00E92F4C">
          <w:rPr>
            <w:rFonts w:asciiTheme="minorHAnsi" w:eastAsiaTheme="minorEastAsia" w:hAnsiTheme="minorHAnsi" w:cstheme="minorBidi"/>
            <w:noProof/>
          </w:rPr>
          <w:tab/>
        </w:r>
        <w:r w:rsidR="00E92F4C" w:rsidRPr="00FB6A9A">
          <w:rPr>
            <w:rStyle w:val="Hyperlink"/>
            <w:noProof/>
            <w:lang w:val="bg-BG"/>
          </w:rPr>
          <w:t>Статут и предмет на дейност</w:t>
        </w:r>
        <w:r w:rsidR="00E92F4C">
          <w:rPr>
            <w:noProof/>
            <w:webHidden/>
          </w:rPr>
          <w:tab/>
        </w:r>
        <w:r w:rsidR="00E92F4C">
          <w:rPr>
            <w:noProof/>
            <w:webHidden/>
          </w:rPr>
          <w:fldChar w:fldCharType="begin"/>
        </w:r>
        <w:r w:rsidR="00E92F4C">
          <w:rPr>
            <w:noProof/>
            <w:webHidden/>
          </w:rPr>
          <w:instrText xml:space="preserve"> PAGEREF _Toc515965319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20" w:history="1">
        <w:r w:rsidR="00E92F4C" w:rsidRPr="00FB6A9A">
          <w:rPr>
            <w:rStyle w:val="Hyperlink"/>
            <w:noProof/>
            <w:lang w:val="bg-BG"/>
          </w:rPr>
          <w:t>2.</w:t>
        </w:r>
        <w:r w:rsidR="00E92F4C">
          <w:rPr>
            <w:rFonts w:asciiTheme="minorHAnsi" w:eastAsiaTheme="minorEastAsia" w:hAnsiTheme="minorHAnsi" w:cstheme="minorBidi"/>
            <w:noProof/>
          </w:rPr>
          <w:tab/>
        </w:r>
        <w:r w:rsidR="00E92F4C" w:rsidRPr="00FB6A9A">
          <w:rPr>
            <w:rStyle w:val="Hyperlink"/>
            <w:noProof/>
            <w:lang w:val="bg-BG"/>
          </w:rPr>
          <w:t>База за изготвяне</w:t>
        </w:r>
        <w:r w:rsidR="00E92F4C">
          <w:rPr>
            <w:noProof/>
            <w:webHidden/>
          </w:rPr>
          <w:tab/>
        </w:r>
        <w:r w:rsidR="00E92F4C">
          <w:rPr>
            <w:noProof/>
            <w:webHidden/>
          </w:rPr>
          <w:fldChar w:fldCharType="begin"/>
        </w:r>
        <w:r w:rsidR="00E92F4C">
          <w:rPr>
            <w:noProof/>
            <w:webHidden/>
          </w:rPr>
          <w:instrText xml:space="preserve"> PAGEREF _Toc515965320 \h </w:instrText>
        </w:r>
        <w:r w:rsidR="00E92F4C">
          <w:rPr>
            <w:noProof/>
            <w:webHidden/>
          </w:rPr>
        </w:r>
        <w:r w:rsidR="00E92F4C">
          <w:rPr>
            <w:noProof/>
            <w:webHidden/>
          </w:rPr>
          <w:fldChar w:fldCharType="separate"/>
        </w:r>
        <w:r w:rsidR="00182232">
          <w:rPr>
            <w:b/>
            <w:bCs/>
            <w:noProof/>
            <w:webHidden/>
          </w:rPr>
          <w:t>Error! Bookmark not defined.</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21" w:history="1">
        <w:r w:rsidR="00E92F4C" w:rsidRPr="00FB6A9A">
          <w:rPr>
            <w:rStyle w:val="Hyperlink"/>
            <w:noProof/>
            <w:lang w:val="bg-BG"/>
          </w:rPr>
          <w:t>3.</w:t>
        </w:r>
        <w:r w:rsidR="00E92F4C">
          <w:rPr>
            <w:rFonts w:asciiTheme="minorHAnsi" w:eastAsiaTheme="minorEastAsia" w:hAnsiTheme="minorHAnsi" w:cstheme="minorBidi"/>
            <w:noProof/>
          </w:rPr>
          <w:tab/>
        </w:r>
        <w:r w:rsidR="00E92F4C" w:rsidRPr="00FB6A9A">
          <w:rPr>
            <w:rStyle w:val="Hyperlink"/>
            <w:noProof/>
            <w:lang w:val="bg-BG"/>
          </w:rPr>
          <w:t>Функционална валута и валута на представяне</w:t>
        </w:r>
        <w:r w:rsidR="00E92F4C">
          <w:rPr>
            <w:noProof/>
            <w:webHidden/>
          </w:rPr>
          <w:tab/>
        </w:r>
        <w:r w:rsidR="00E92F4C">
          <w:rPr>
            <w:noProof/>
            <w:webHidden/>
          </w:rPr>
          <w:fldChar w:fldCharType="begin"/>
        </w:r>
        <w:r w:rsidR="00E92F4C">
          <w:rPr>
            <w:noProof/>
            <w:webHidden/>
          </w:rPr>
          <w:instrText xml:space="preserve"> PAGEREF _Toc515965321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22" w:history="1">
        <w:r w:rsidR="00E92F4C" w:rsidRPr="00FB6A9A">
          <w:rPr>
            <w:rStyle w:val="Hyperlink"/>
            <w:noProof/>
            <w:lang w:val="bg-BG"/>
          </w:rPr>
          <w:t>4.</w:t>
        </w:r>
        <w:r w:rsidR="00E92F4C">
          <w:rPr>
            <w:rFonts w:asciiTheme="minorHAnsi" w:eastAsiaTheme="minorEastAsia" w:hAnsiTheme="minorHAnsi" w:cstheme="minorBidi"/>
            <w:noProof/>
          </w:rPr>
          <w:tab/>
        </w:r>
        <w:r w:rsidR="00E92F4C" w:rsidRPr="00FB6A9A">
          <w:rPr>
            <w:rStyle w:val="Hyperlink"/>
            <w:noProof/>
            <w:lang w:val="bg-BG"/>
          </w:rPr>
          <w:t>Използване на приблизителни оценки и преценки</w:t>
        </w:r>
        <w:r w:rsidR="00E92F4C">
          <w:rPr>
            <w:noProof/>
            <w:webHidden/>
          </w:rPr>
          <w:tab/>
        </w:r>
        <w:r w:rsidR="00E92F4C">
          <w:rPr>
            <w:noProof/>
            <w:webHidden/>
          </w:rPr>
          <w:fldChar w:fldCharType="begin"/>
        </w:r>
        <w:r w:rsidR="00E92F4C">
          <w:rPr>
            <w:noProof/>
            <w:webHidden/>
          </w:rPr>
          <w:instrText xml:space="preserve"> PAGEREF _Toc515965322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B64A18">
      <w:pPr>
        <w:pStyle w:val="TOC1"/>
        <w:rPr>
          <w:rFonts w:asciiTheme="minorHAnsi" w:eastAsiaTheme="minorEastAsia" w:hAnsiTheme="minorHAnsi" w:cstheme="minorBidi"/>
          <w:noProof/>
        </w:rPr>
      </w:pPr>
      <w:r w:rsidRPr="00A51B15">
        <w:rPr>
          <w:rStyle w:val="Hyperlink"/>
          <w:noProof/>
          <w:u w:val="none"/>
          <w:lang w:val="bg-BG"/>
        </w:rPr>
        <w:t>5</w:t>
      </w:r>
      <w:hyperlink w:anchor="_Toc515965324" w:history="1">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Разходи за външни услуги</w:t>
        </w:r>
        <w:r w:rsidR="00E92F4C">
          <w:rPr>
            <w:noProof/>
            <w:webHidden/>
          </w:rPr>
          <w:tab/>
        </w:r>
        <w:r w:rsidR="00E92F4C">
          <w:rPr>
            <w:noProof/>
            <w:webHidden/>
          </w:rPr>
          <w:fldChar w:fldCharType="begin"/>
        </w:r>
        <w:r w:rsidR="00E92F4C">
          <w:rPr>
            <w:noProof/>
            <w:webHidden/>
          </w:rPr>
          <w:instrText xml:space="preserve"> PAGEREF _Toc515965324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B64A18">
      <w:pPr>
        <w:pStyle w:val="TOC1"/>
        <w:rPr>
          <w:rFonts w:asciiTheme="minorHAnsi" w:eastAsiaTheme="minorEastAsia" w:hAnsiTheme="minorHAnsi" w:cstheme="minorBidi"/>
          <w:noProof/>
        </w:rPr>
      </w:pPr>
      <w:r w:rsidRPr="00A51B15">
        <w:rPr>
          <w:rStyle w:val="Hyperlink"/>
          <w:noProof/>
          <w:u w:val="none"/>
          <w:lang w:val="bg-BG"/>
        </w:rPr>
        <w:t>6</w:t>
      </w:r>
      <w:hyperlink w:anchor="_Toc515965325" w:history="1">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Финансови приходи и разходи</w:t>
        </w:r>
        <w:r w:rsidR="00E92F4C">
          <w:rPr>
            <w:noProof/>
            <w:webHidden/>
          </w:rPr>
          <w:tab/>
        </w:r>
        <w:r w:rsidR="00E92F4C">
          <w:rPr>
            <w:noProof/>
            <w:webHidden/>
          </w:rPr>
          <w:fldChar w:fldCharType="begin"/>
        </w:r>
        <w:r w:rsidR="00E92F4C">
          <w:rPr>
            <w:noProof/>
            <w:webHidden/>
          </w:rPr>
          <w:instrText xml:space="preserve"> PAGEREF _Toc515965325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7623">
      <w:pPr>
        <w:pStyle w:val="TOC1"/>
        <w:rPr>
          <w:rFonts w:asciiTheme="minorHAnsi" w:eastAsiaTheme="minorEastAsia" w:hAnsiTheme="minorHAnsi" w:cstheme="minorBidi"/>
          <w:noProof/>
        </w:rPr>
      </w:pPr>
      <w:r w:rsidRPr="00C07623">
        <w:rPr>
          <w:rStyle w:val="Hyperlink"/>
          <w:noProof/>
          <w:u w:val="none"/>
          <w:lang w:val="bg-BG"/>
        </w:rPr>
        <w:t>7</w:t>
      </w:r>
      <w:hyperlink w:anchor="_Toc515965327" w:history="1">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Търговски и други вземания</w:t>
        </w:r>
        <w:r w:rsidR="00E92F4C">
          <w:rPr>
            <w:noProof/>
            <w:webHidden/>
          </w:rPr>
          <w:tab/>
        </w:r>
        <w:r w:rsidR="00E92F4C">
          <w:rPr>
            <w:noProof/>
            <w:webHidden/>
          </w:rPr>
          <w:fldChar w:fldCharType="begin"/>
        </w:r>
        <w:r w:rsidR="00E92F4C">
          <w:rPr>
            <w:noProof/>
            <w:webHidden/>
          </w:rPr>
          <w:instrText xml:space="preserve"> PAGEREF _Toc515965327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7623">
      <w:pPr>
        <w:pStyle w:val="TOC1"/>
        <w:rPr>
          <w:rFonts w:asciiTheme="minorHAnsi" w:eastAsiaTheme="minorEastAsia" w:hAnsiTheme="minorHAnsi" w:cstheme="minorBidi"/>
          <w:noProof/>
        </w:rPr>
      </w:pPr>
      <w:r>
        <w:rPr>
          <w:rStyle w:val="Hyperlink"/>
          <w:noProof/>
          <w:u w:val="none"/>
          <w:lang w:val="bg-BG"/>
        </w:rPr>
        <w:t>8</w:t>
      </w:r>
      <w:hyperlink w:anchor="_Toc515965330" w:history="1">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Капитал и резерви</w:t>
        </w:r>
        <w:r w:rsidR="00E92F4C">
          <w:rPr>
            <w:noProof/>
            <w:webHidden/>
          </w:rPr>
          <w:tab/>
        </w:r>
        <w:r w:rsidR="00E92F4C">
          <w:rPr>
            <w:noProof/>
            <w:webHidden/>
          </w:rPr>
          <w:fldChar w:fldCharType="begin"/>
        </w:r>
        <w:r w:rsidR="00E92F4C">
          <w:rPr>
            <w:noProof/>
            <w:webHidden/>
          </w:rPr>
          <w:instrText xml:space="preserve"> PAGEREF _Toc515965330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Pr="00C07623" w:rsidRDefault="00C01B45">
      <w:pPr>
        <w:pStyle w:val="TOC1"/>
        <w:rPr>
          <w:rFonts w:asciiTheme="minorHAnsi" w:eastAsiaTheme="minorEastAsia" w:hAnsiTheme="minorHAnsi" w:cstheme="minorBidi"/>
          <w:noProof/>
          <w:lang w:val="bg-BG"/>
        </w:rPr>
      </w:pPr>
      <w:hyperlink w:anchor="_Toc515965331" w:history="1">
        <w:r w:rsidR="00C07623">
          <w:rPr>
            <w:rStyle w:val="Hyperlink"/>
            <w:noProof/>
            <w:lang w:val="bg-BG"/>
          </w:rPr>
          <w:t>9</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Търговски и други задължения</w:t>
        </w:r>
        <w:r w:rsidR="00E92F4C">
          <w:rPr>
            <w:noProof/>
            <w:webHidden/>
          </w:rPr>
          <w:tab/>
        </w:r>
      </w:hyperlink>
      <w:r w:rsidR="00C07623">
        <w:rPr>
          <w:noProof/>
          <w:lang w:val="bg-BG"/>
        </w:rPr>
        <w:t>9</w:t>
      </w:r>
    </w:p>
    <w:p w:rsidR="00E92F4C" w:rsidRDefault="00C01B45">
      <w:pPr>
        <w:pStyle w:val="TOC1"/>
        <w:rPr>
          <w:rFonts w:asciiTheme="minorHAnsi" w:eastAsiaTheme="minorEastAsia" w:hAnsiTheme="minorHAnsi" w:cstheme="minorBidi"/>
          <w:noProof/>
        </w:rPr>
      </w:pPr>
      <w:hyperlink w:anchor="_Toc515965332" w:history="1">
        <w:r w:rsidR="00E92F4C" w:rsidRPr="00FB6A9A">
          <w:rPr>
            <w:rStyle w:val="Hyperlink"/>
            <w:noProof/>
            <w:lang w:val="bg-BG"/>
          </w:rPr>
          <w:t>1</w:t>
        </w:r>
        <w:r w:rsidR="00C07623">
          <w:rPr>
            <w:rStyle w:val="Hyperlink"/>
            <w:noProof/>
            <w:lang w:val="bg-BG"/>
          </w:rPr>
          <w:t>0</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Финансови инстументи</w:t>
        </w:r>
        <w:r w:rsidR="00E92F4C">
          <w:rPr>
            <w:noProof/>
            <w:webHidden/>
          </w:rPr>
          <w:tab/>
        </w:r>
        <w:r w:rsidR="00E92F4C">
          <w:rPr>
            <w:noProof/>
            <w:webHidden/>
          </w:rPr>
          <w:fldChar w:fldCharType="begin"/>
        </w:r>
        <w:r w:rsidR="00E92F4C">
          <w:rPr>
            <w:noProof/>
            <w:webHidden/>
          </w:rPr>
          <w:instrText xml:space="preserve"> PAGEREF _Toc515965332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33" w:history="1">
        <w:r w:rsidR="00E92F4C" w:rsidRPr="00FB6A9A">
          <w:rPr>
            <w:rStyle w:val="Hyperlink"/>
            <w:noProof/>
            <w:lang w:val="bg-BG"/>
          </w:rPr>
          <w:t>1</w:t>
        </w:r>
        <w:r w:rsidR="00C07623">
          <w:rPr>
            <w:rStyle w:val="Hyperlink"/>
            <w:noProof/>
            <w:lang w:val="bg-BG"/>
          </w:rPr>
          <w:t>1</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Свързани лица</w:t>
        </w:r>
        <w:r w:rsidR="00E92F4C">
          <w:rPr>
            <w:noProof/>
            <w:webHidden/>
          </w:rPr>
          <w:tab/>
        </w:r>
        <w:r w:rsidR="00E92F4C">
          <w:rPr>
            <w:noProof/>
            <w:webHidden/>
          </w:rPr>
          <w:fldChar w:fldCharType="begin"/>
        </w:r>
        <w:r w:rsidR="00E92F4C">
          <w:rPr>
            <w:noProof/>
            <w:webHidden/>
          </w:rPr>
          <w:instrText xml:space="preserve"> PAGEREF _Toc515965333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34" w:history="1">
        <w:r w:rsidR="00E92F4C" w:rsidRPr="00FB6A9A">
          <w:rPr>
            <w:rStyle w:val="Hyperlink"/>
            <w:noProof/>
            <w:lang w:val="bg-BG"/>
          </w:rPr>
          <w:t>1</w:t>
        </w:r>
        <w:r w:rsidR="009B3C9F">
          <w:rPr>
            <w:rStyle w:val="Hyperlink"/>
            <w:noProof/>
            <w:lang w:val="bg-BG"/>
          </w:rPr>
          <w:t>2</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Събития след датата на отчетния период</w:t>
        </w:r>
        <w:r w:rsidR="00E92F4C">
          <w:rPr>
            <w:noProof/>
            <w:webHidden/>
          </w:rPr>
          <w:tab/>
        </w:r>
        <w:r w:rsidR="00E92F4C">
          <w:rPr>
            <w:noProof/>
            <w:webHidden/>
          </w:rPr>
          <w:fldChar w:fldCharType="begin"/>
        </w:r>
        <w:r w:rsidR="00E92F4C">
          <w:rPr>
            <w:noProof/>
            <w:webHidden/>
          </w:rPr>
          <w:instrText xml:space="preserve"> PAGEREF _Toc515965334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35" w:history="1">
        <w:r w:rsidR="00E92F4C" w:rsidRPr="00FB6A9A">
          <w:rPr>
            <w:rStyle w:val="Hyperlink"/>
            <w:noProof/>
            <w:lang w:val="bg-BG"/>
          </w:rPr>
          <w:t>1</w:t>
        </w:r>
        <w:r w:rsidR="009B3C9F">
          <w:rPr>
            <w:rStyle w:val="Hyperlink"/>
            <w:noProof/>
            <w:lang w:val="bg-BG"/>
          </w:rPr>
          <w:t>3</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База за измерване</w:t>
        </w:r>
        <w:r w:rsidR="00E92F4C">
          <w:rPr>
            <w:noProof/>
            <w:webHidden/>
          </w:rPr>
          <w:tab/>
        </w:r>
        <w:r w:rsidR="00E92F4C">
          <w:rPr>
            <w:noProof/>
            <w:webHidden/>
          </w:rPr>
          <w:fldChar w:fldCharType="begin"/>
        </w:r>
        <w:r w:rsidR="00E92F4C">
          <w:rPr>
            <w:noProof/>
            <w:webHidden/>
          </w:rPr>
          <w:instrText xml:space="preserve"> PAGEREF _Toc515965335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E92F4C" w:rsidRDefault="00C01B45">
      <w:pPr>
        <w:pStyle w:val="TOC1"/>
        <w:rPr>
          <w:rFonts w:asciiTheme="minorHAnsi" w:eastAsiaTheme="minorEastAsia" w:hAnsiTheme="minorHAnsi" w:cstheme="minorBidi"/>
          <w:noProof/>
        </w:rPr>
      </w:pPr>
      <w:hyperlink w:anchor="_Toc515965336" w:history="1">
        <w:r w:rsidR="00E92F4C" w:rsidRPr="00FB6A9A">
          <w:rPr>
            <w:rStyle w:val="Hyperlink"/>
            <w:noProof/>
            <w:lang w:val="bg-BG"/>
          </w:rPr>
          <w:t>1</w:t>
        </w:r>
        <w:r w:rsidR="009B3C9F">
          <w:rPr>
            <w:rStyle w:val="Hyperlink"/>
            <w:noProof/>
            <w:lang w:val="bg-BG"/>
          </w:rPr>
          <w:t>4</w:t>
        </w:r>
        <w:r w:rsidR="00E92F4C" w:rsidRPr="00FB6A9A">
          <w:rPr>
            <w:rStyle w:val="Hyperlink"/>
            <w:noProof/>
            <w:lang w:val="bg-BG"/>
          </w:rPr>
          <w:t>.</w:t>
        </w:r>
        <w:r w:rsidR="00E92F4C">
          <w:rPr>
            <w:rFonts w:asciiTheme="minorHAnsi" w:eastAsiaTheme="minorEastAsia" w:hAnsiTheme="minorHAnsi" w:cstheme="minorBidi"/>
            <w:noProof/>
          </w:rPr>
          <w:tab/>
        </w:r>
        <w:r w:rsidR="00E92F4C" w:rsidRPr="00FB6A9A">
          <w:rPr>
            <w:rStyle w:val="Hyperlink"/>
            <w:noProof/>
            <w:lang w:val="bg-BG"/>
          </w:rPr>
          <w:t>Значими счетоводни политики</w:t>
        </w:r>
        <w:r w:rsidR="00E92F4C">
          <w:rPr>
            <w:noProof/>
            <w:webHidden/>
          </w:rPr>
          <w:tab/>
        </w:r>
        <w:r w:rsidR="00E92F4C">
          <w:rPr>
            <w:noProof/>
            <w:webHidden/>
          </w:rPr>
          <w:fldChar w:fldCharType="begin"/>
        </w:r>
        <w:r w:rsidR="00E92F4C">
          <w:rPr>
            <w:noProof/>
            <w:webHidden/>
          </w:rPr>
          <w:instrText xml:space="preserve"> PAGEREF _Toc515965336 \h </w:instrText>
        </w:r>
        <w:r w:rsidR="00E92F4C">
          <w:rPr>
            <w:noProof/>
            <w:webHidden/>
          </w:rPr>
        </w:r>
        <w:r w:rsidR="00E92F4C">
          <w:rPr>
            <w:noProof/>
            <w:webHidden/>
          </w:rPr>
          <w:fldChar w:fldCharType="separate"/>
        </w:r>
        <w:r w:rsidR="00182232">
          <w:rPr>
            <w:noProof/>
            <w:webHidden/>
          </w:rPr>
          <w:t>1</w:t>
        </w:r>
        <w:r w:rsidR="00E92F4C">
          <w:rPr>
            <w:noProof/>
            <w:webHidden/>
          </w:rPr>
          <w:fldChar w:fldCharType="end"/>
        </w:r>
      </w:hyperlink>
    </w:p>
    <w:p w:rsidR="003E2FCF" w:rsidRPr="007E37EA" w:rsidRDefault="00624ED0" w:rsidP="009269F7">
      <w:pPr>
        <w:spacing w:after="0" w:line="320" w:lineRule="atLeast"/>
        <w:jc w:val="both"/>
        <w:rPr>
          <w:rFonts w:ascii="Times New Roman" w:hAnsi="Times New Roman"/>
          <w:bCs/>
          <w:sz w:val="20"/>
          <w:szCs w:val="16"/>
          <w:lang w:val="bg-BG"/>
        </w:rPr>
      </w:pPr>
      <w:r w:rsidRPr="007E37EA">
        <w:rPr>
          <w:lang w:val="bg-BG"/>
        </w:rPr>
        <w:fldChar w:fldCharType="end"/>
      </w:r>
    </w:p>
    <w:p w:rsidR="00DB0E4C" w:rsidRPr="007E37EA" w:rsidRDefault="00DB0E4C" w:rsidP="009269F7">
      <w:pPr>
        <w:pStyle w:val="Default"/>
        <w:spacing w:before="120" w:after="120" w:line="260" w:lineRule="atLeast"/>
        <w:jc w:val="both"/>
        <w:rPr>
          <w:rFonts w:ascii="Times New Roman" w:hAnsi="Times New Roman" w:cs="Times New Roman"/>
          <w:bCs/>
          <w:color w:val="auto"/>
          <w:sz w:val="20"/>
          <w:szCs w:val="16"/>
          <w:lang w:val="bg-BG"/>
        </w:rPr>
        <w:sectPr w:rsidR="00DB0E4C" w:rsidRPr="007E37EA" w:rsidSect="00EC3BA5">
          <w:headerReference w:type="default" r:id="rId13"/>
          <w:type w:val="continuous"/>
          <w:pgSz w:w="11907" w:h="16839" w:code="9"/>
          <w:pgMar w:top="1418" w:right="1418" w:bottom="1418" w:left="1701" w:header="720" w:footer="720" w:gutter="0"/>
          <w:cols w:sep="1" w:space="720"/>
          <w:noEndnote/>
          <w:docGrid w:linePitch="299"/>
        </w:sectPr>
      </w:pPr>
    </w:p>
    <w:p w:rsidR="00F53B7F" w:rsidRPr="00BA7402" w:rsidRDefault="00BA7402" w:rsidP="00BA7402">
      <w:pPr>
        <w:pStyle w:val="Heading2"/>
        <w:spacing w:before="0" w:after="120" w:line="260" w:lineRule="atLeast"/>
        <w:rPr>
          <w:rFonts w:ascii="Times New Roman" w:hAnsi="Times New Roman"/>
          <w:color w:val="auto"/>
          <w:sz w:val="20"/>
          <w:szCs w:val="20"/>
          <w:lang w:val="bg-BG"/>
        </w:rPr>
      </w:pPr>
      <w:bookmarkStart w:id="6" w:name="_Toc346027221"/>
      <w:bookmarkStart w:id="7" w:name="_Toc515965319"/>
      <w:r>
        <w:rPr>
          <w:rFonts w:ascii="Times New Roman" w:hAnsi="Times New Roman"/>
          <w:color w:val="auto"/>
          <w:sz w:val="20"/>
          <w:szCs w:val="20"/>
          <w:lang w:val="bg-BG"/>
        </w:rPr>
        <w:lastRenderedPageBreak/>
        <w:t>1.</w:t>
      </w:r>
      <w:r w:rsidR="00F53B7F" w:rsidRPr="00BA7402">
        <w:rPr>
          <w:rFonts w:ascii="Times New Roman" w:hAnsi="Times New Roman"/>
          <w:color w:val="auto"/>
          <w:sz w:val="20"/>
          <w:szCs w:val="20"/>
          <w:lang w:val="bg-BG"/>
        </w:rPr>
        <w:t>Статут и предмет на дейност</w:t>
      </w:r>
      <w:bookmarkEnd w:id="6"/>
      <w:bookmarkEnd w:id="7"/>
    </w:p>
    <w:p w:rsidR="00CA3E3E" w:rsidRPr="009342D6" w:rsidRDefault="00CA3E3E" w:rsidP="00CA3E3E">
      <w:pPr>
        <w:jc w:val="both"/>
        <w:rPr>
          <w:rFonts w:ascii="Times New Roman" w:hAnsi="Times New Roman"/>
          <w:sz w:val="20"/>
          <w:szCs w:val="20"/>
          <w:lang w:val="bg-BG"/>
        </w:rPr>
      </w:pPr>
      <w:r w:rsidRPr="00BA7402">
        <w:rPr>
          <w:rFonts w:ascii="Times New Roman" w:hAnsi="Times New Roman"/>
          <w:sz w:val="20"/>
          <w:szCs w:val="20"/>
          <w:lang w:val="bg-BG"/>
        </w:rPr>
        <w:t xml:space="preserve">Кабиле ЛБ” АД е акционерно дружество, регистрирано в Ямболския окръжен съд по фирмено дело </w:t>
      </w:r>
      <w:r w:rsidRPr="00BA7402">
        <w:rPr>
          <w:rFonts w:ascii="Times New Roman" w:hAnsi="Times New Roman"/>
          <w:sz w:val="20"/>
          <w:szCs w:val="20"/>
        </w:rPr>
        <w:t>N</w:t>
      </w:r>
      <w:r w:rsidRPr="00BA7402">
        <w:rPr>
          <w:rFonts w:ascii="Times New Roman" w:hAnsi="Times New Roman"/>
          <w:sz w:val="20"/>
          <w:szCs w:val="20"/>
          <w:lang w:val="bg-BG"/>
        </w:rPr>
        <w:t>о 515/1996 г. Дружеството е учредено чрез подписка на</w:t>
      </w:r>
      <w:r w:rsidR="009342D6">
        <w:rPr>
          <w:rFonts w:ascii="Times New Roman" w:hAnsi="Times New Roman"/>
          <w:sz w:val="20"/>
          <w:szCs w:val="20"/>
          <w:lang w:val="bg-BG"/>
        </w:rPr>
        <w:t xml:space="preserve"> учредително събрание, с решение </w:t>
      </w:r>
      <w:r w:rsidRPr="00BA7402">
        <w:rPr>
          <w:rFonts w:ascii="Times New Roman" w:hAnsi="Times New Roman"/>
          <w:sz w:val="20"/>
          <w:szCs w:val="20"/>
          <w:lang w:val="bg-BG"/>
        </w:rPr>
        <w:t>№1302/15.05.1996 г. на Ямболския окръжен съд.</w:t>
      </w:r>
    </w:p>
    <w:p w:rsidR="00CA3E3E" w:rsidRPr="00BA7402" w:rsidRDefault="00CA3E3E" w:rsidP="00CA3E3E">
      <w:pPr>
        <w:jc w:val="both"/>
        <w:rPr>
          <w:rFonts w:ascii="Times New Roman" w:hAnsi="Times New Roman"/>
          <w:sz w:val="20"/>
          <w:szCs w:val="20"/>
          <w:lang w:val="bg-BG"/>
        </w:rPr>
      </w:pPr>
      <w:r w:rsidRPr="00BA7402">
        <w:rPr>
          <w:rFonts w:ascii="Times New Roman" w:hAnsi="Times New Roman"/>
          <w:sz w:val="20"/>
          <w:szCs w:val="20"/>
          <w:lang w:val="bg-BG"/>
        </w:rPr>
        <w:t xml:space="preserve">Предметът на дейността на дружеството се състои в изкупуване и преработка на мляко и млечни продукти и търговия. С решение на РВМС Ямбол от 14.11.2003 г. е разпоредено преустановяване на производствената дейност на предприятието. До този момент производствената дейност не е възобновявана. </w:t>
      </w:r>
    </w:p>
    <w:p w:rsidR="00CA3E3E" w:rsidRPr="00BA7402" w:rsidRDefault="00CA3E3E" w:rsidP="00CA3E3E">
      <w:pPr>
        <w:jc w:val="both"/>
        <w:rPr>
          <w:rFonts w:ascii="Times New Roman" w:hAnsi="Times New Roman"/>
          <w:sz w:val="20"/>
          <w:szCs w:val="20"/>
          <w:lang w:val="bg-BG"/>
        </w:rPr>
      </w:pPr>
      <w:r w:rsidRPr="00BA7402">
        <w:rPr>
          <w:rFonts w:ascii="Times New Roman" w:hAnsi="Times New Roman"/>
          <w:sz w:val="20"/>
          <w:szCs w:val="20"/>
          <w:lang w:val="bg-BG"/>
        </w:rPr>
        <w:t>Капиталът е 100% частна собственост. Собственици на капитала са: ТК -ХОЛД АД-113000 бр.</w:t>
      </w:r>
      <w:r w:rsidRPr="00BA7402">
        <w:rPr>
          <w:rFonts w:ascii="Times New Roman" w:hAnsi="Times New Roman"/>
          <w:sz w:val="20"/>
          <w:szCs w:val="20"/>
        </w:rPr>
        <w:t>; ЮГ МАРКЕТ</w:t>
      </w:r>
      <w:r w:rsidRPr="00BA7402">
        <w:rPr>
          <w:rFonts w:ascii="Times New Roman" w:hAnsi="Times New Roman"/>
          <w:sz w:val="20"/>
          <w:szCs w:val="20"/>
          <w:lang w:val="bg-BG"/>
        </w:rPr>
        <w:t xml:space="preserve"> АД</w:t>
      </w:r>
      <w:r w:rsidRPr="00BA7402">
        <w:rPr>
          <w:rFonts w:ascii="Times New Roman" w:hAnsi="Times New Roman"/>
          <w:sz w:val="20"/>
          <w:szCs w:val="20"/>
        </w:rPr>
        <w:t>-9348 б</w:t>
      </w:r>
      <w:r w:rsidRPr="00BA7402">
        <w:rPr>
          <w:rFonts w:ascii="Times New Roman" w:hAnsi="Times New Roman"/>
          <w:sz w:val="20"/>
          <w:szCs w:val="20"/>
          <w:lang w:val="bg-BG"/>
        </w:rPr>
        <w:t>р</w:t>
      </w:r>
      <w:r w:rsidRPr="00BA7402">
        <w:rPr>
          <w:rFonts w:ascii="Times New Roman" w:hAnsi="Times New Roman"/>
          <w:sz w:val="20"/>
          <w:szCs w:val="20"/>
        </w:rPr>
        <w:t>;</w:t>
      </w:r>
      <w:r w:rsidRPr="00BA7402">
        <w:rPr>
          <w:rFonts w:ascii="Times New Roman" w:hAnsi="Times New Roman"/>
          <w:sz w:val="20"/>
          <w:szCs w:val="20"/>
          <w:lang w:val="bg-BG"/>
        </w:rPr>
        <w:t xml:space="preserve"> Център Строй ЕООД-41078 </w:t>
      </w:r>
      <w:proofErr w:type="gramStart"/>
      <w:r w:rsidRPr="00BA7402">
        <w:rPr>
          <w:rFonts w:ascii="Times New Roman" w:hAnsi="Times New Roman"/>
          <w:sz w:val="20"/>
          <w:szCs w:val="20"/>
          <w:lang w:val="bg-BG"/>
        </w:rPr>
        <w:t>бр.</w:t>
      </w:r>
      <w:r w:rsidRPr="00BA7402">
        <w:rPr>
          <w:rFonts w:ascii="Times New Roman" w:hAnsi="Times New Roman"/>
          <w:sz w:val="20"/>
          <w:szCs w:val="20"/>
        </w:rPr>
        <w:t>;</w:t>
      </w:r>
      <w:proofErr w:type="gramEnd"/>
      <w:r w:rsidRPr="00BA7402">
        <w:rPr>
          <w:rFonts w:ascii="Times New Roman" w:hAnsi="Times New Roman"/>
          <w:sz w:val="20"/>
          <w:szCs w:val="20"/>
        </w:rPr>
        <w:t xml:space="preserve"> </w:t>
      </w:r>
      <w:proofErr w:type="spellStart"/>
      <w:r w:rsidRPr="00BA7402">
        <w:rPr>
          <w:rFonts w:ascii="Times New Roman" w:hAnsi="Times New Roman"/>
          <w:sz w:val="20"/>
          <w:szCs w:val="20"/>
        </w:rPr>
        <w:t>Приви</w:t>
      </w:r>
      <w:proofErr w:type="spellEnd"/>
      <w:r w:rsidRPr="00BA7402">
        <w:rPr>
          <w:rFonts w:ascii="Times New Roman" w:hAnsi="Times New Roman"/>
          <w:sz w:val="20"/>
          <w:szCs w:val="20"/>
          <w:lang w:val="bg-BG"/>
        </w:rPr>
        <w:t xml:space="preserve"> АД-53219 бр. и Физически лица-13841 бр. </w:t>
      </w:r>
    </w:p>
    <w:p w:rsidR="00CA3E3E" w:rsidRPr="00BA7402" w:rsidRDefault="00C94D6E" w:rsidP="00C94D6E">
      <w:pPr>
        <w:jc w:val="both"/>
        <w:rPr>
          <w:rFonts w:ascii="Times New Roman" w:hAnsi="Times New Roman"/>
          <w:b/>
          <w:sz w:val="20"/>
          <w:szCs w:val="20"/>
          <w:lang w:val="bg-BG"/>
        </w:rPr>
      </w:pPr>
      <w:r w:rsidRPr="00BA7402">
        <w:rPr>
          <w:rFonts w:ascii="Times New Roman" w:hAnsi="Times New Roman"/>
          <w:b/>
          <w:sz w:val="20"/>
          <w:szCs w:val="20"/>
          <w:lang w:val="bg-BG"/>
        </w:rPr>
        <w:t>2.</w:t>
      </w:r>
      <w:r w:rsidR="00CA3E3E" w:rsidRPr="00BA7402">
        <w:rPr>
          <w:rFonts w:ascii="Times New Roman" w:hAnsi="Times New Roman"/>
          <w:b/>
          <w:sz w:val="20"/>
          <w:szCs w:val="20"/>
          <w:lang w:val="bg-BG"/>
        </w:rPr>
        <w:t>База за изготвяне на финансовия отчет</w:t>
      </w:r>
    </w:p>
    <w:p w:rsidR="00CA3E3E" w:rsidRPr="00BA7402" w:rsidRDefault="00CA3E3E" w:rsidP="002B0BC2">
      <w:pPr>
        <w:jc w:val="both"/>
        <w:rPr>
          <w:rFonts w:ascii="Times New Roman" w:hAnsi="Times New Roman"/>
          <w:sz w:val="20"/>
          <w:szCs w:val="20"/>
          <w:lang w:val="bg-BG"/>
        </w:rPr>
      </w:pPr>
      <w:r w:rsidRPr="00BA7402">
        <w:rPr>
          <w:rFonts w:ascii="Times New Roman" w:hAnsi="Times New Roman"/>
          <w:sz w:val="20"/>
          <w:szCs w:val="20"/>
          <w:lang w:val="bg-BG"/>
        </w:rPr>
        <w:t>Финансовият отчет на „Кабиле ЛБ” АД е изготвен в съответствие с изискванията на Международните счетоводни стандарти, издание на Комитета за международни стандарти и приети за приложение от Европейския съюз. Към 31.12.2019 г. МСС включват Международните счетоводни стандарти, Международните  стандарти за финансова отчетност (МСФО</w:t>
      </w:r>
      <w:r w:rsidRPr="00BA7402">
        <w:rPr>
          <w:rFonts w:ascii="Times New Roman" w:hAnsi="Times New Roman"/>
          <w:sz w:val="20"/>
          <w:szCs w:val="20"/>
        </w:rPr>
        <w:t>)</w:t>
      </w:r>
      <w:r w:rsidRPr="00BA7402">
        <w:rPr>
          <w:rFonts w:ascii="Times New Roman" w:hAnsi="Times New Roman"/>
          <w:sz w:val="20"/>
          <w:szCs w:val="20"/>
          <w:lang w:val="bg-BG"/>
        </w:rPr>
        <w:t>, Тълкуванията Постоянния комитет за разяснение и Тълкуванията на Комитета за разяснения на МСФО. Комитетът за МСС преиздава ежегодно стандартите и разясненията към тях, валидни за годината, за която са издадени. Голяма част от тях не са приложими за дейността на дружеството, поради специфичните въпроси, които се третират в тях.</w:t>
      </w:r>
    </w:p>
    <w:p w:rsidR="00CA3E3E" w:rsidRPr="00BA7402" w:rsidRDefault="00CA3E3E" w:rsidP="002B0BC2">
      <w:pPr>
        <w:jc w:val="both"/>
        <w:rPr>
          <w:rFonts w:ascii="Times New Roman" w:hAnsi="Times New Roman"/>
          <w:sz w:val="20"/>
          <w:szCs w:val="20"/>
          <w:lang w:val="bg-BG"/>
        </w:rPr>
      </w:pPr>
      <w:r w:rsidRPr="00BA7402">
        <w:rPr>
          <w:rFonts w:ascii="Times New Roman" w:hAnsi="Times New Roman"/>
          <w:sz w:val="20"/>
          <w:szCs w:val="20"/>
          <w:lang w:val="bg-BG"/>
        </w:rPr>
        <w:t xml:space="preserve">Промените в МСС, които са настъпили от 1 януари 2019 г., не са оказали и не се очакват да окажат ефект върху прилаганата счетоводна политика по отношение на изготвяните от дружеството финансови отчети. </w:t>
      </w:r>
    </w:p>
    <w:p w:rsidR="00CA3E3E" w:rsidRPr="00BA7402" w:rsidRDefault="00CA3E3E" w:rsidP="002B0BC2">
      <w:pPr>
        <w:jc w:val="both"/>
        <w:rPr>
          <w:rFonts w:ascii="Times New Roman" w:hAnsi="Times New Roman"/>
          <w:sz w:val="20"/>
          <w:szCs w:val="20"/>
          <w:lang w:val="bg-BG"/>
        </w:rPr>
      </w:pPr>
      <w:r w:rsidRPr="00BA7402">
        <w:rPr>
          <w:rFonts w:ascii="Times New Roman" w:hAnsi="Times New Roman"/>
          <w:sz w:val="20"/>
          <w:szCs w:val="20"/>
          <w:lang w:val="bg-BG"/>
        </w:rPr>
        <w:t xml:space="preserve"> Същият е изготвен на основата на счетоводната концепция за  историческата цена.</w:t>
      </w:r>
    </w:p>
    <w:p w:rsidR="00CA3E3E" w:rsidRPr="00BA7402" w:rsidRDefault="00CA3E3E" w:rsidP="002B0BC2">
      <w:pPr>
        <w:jc w:val="both"/>
        <w:rPr>
          <w:rFonts w:ascii="Times New Roman" w:hAnsi="Times New Roman"/>
          <w:sz w:val="20"/>
          <w:szCs w:val="20"/>
          <w:lang w:val="bg-BG"/>
        </w:rPr>
      </w:pPr>
      <w:r w:rsidRPr="00BA7402">
        <w:rPr>
          <w:rFonts w:ascii="Times New Roman" w:hAnsi="Times New Roman"/>
          <w:sz w:val="20"/>
          <w:szCs w:val="20"/>
          <w:lang w:val="bg-BG"/>
        </w:rPr>
        <w:t>Всички данни са представени в настоящия финансов отчет в хиляди български лева.</w:t>
      </w:r>
    </w:p>
    <w:p w:rsidR="003E2FCF" w:rsidRPr="00BA7402" w:rsidRDefault="00C94D6E" w:rsidP="00C94D6E">
      <w:pPr>
        <w:pStyle w:val="Heading2"/>
        <w:spacing w:before="240" w:after="120" w:line="260" w:lineRule="atLeast"/>
        <w:rPr>
          <w:rFonts w:ascii="Times New Roman" w:hAnsi="Times New Roman"/>
          <w:color w:val="auto"/>
          <w:sz w:val="20"/>
          <w:szCs w:val="20"/>
          <w:lang w:val="bg-BG"/>
        </w:rPr>
      </w:pPr>
      <w:bookmarkStart w:id="8" w:name="_Toc374451559"/>
      <w:bookmarkStart w:id="9" w:name="_Toc374452538"/>
      <w:bookmarkStart w:id="10" w:name="_Toc374457287"/>
      <w:bookmarkStart w:id="11" w:name="_Toc515965321"/>
      <w:bookmarkEnd w:id="8"/>
      <w:bookmarkEnd w:id="9"/>
      <w:bookmarkEnd w:id="10"/>
      <w:r w:rsidRPr="00BA7402">
        <w:rPr>
          <w:rFonts w:ascii="Times New Roman" w:hAnsi="Times New Roman"/>
          <w:color w:val="auto"/>
          <w:sz w:val="20"/>
          <w:szCs w:val="20"/>
          <w:lang w:val="bg-BG"/>
        </w:rPr>
        <w:t>3.</w:t>
      </w:r>
      <w:r w:rsidR="003625EB" w:rsidRPr="00BA7402">
        <w:rPr>
          <w:rFonts w:ascii="Times New Roman" w:hAnsi="Times New Roman"/>
          <w:color w:val="auto"/>
          <w:sz w:val="20"/>
          <w:szCs w:val="20"/>
          <w:lang w:val="bg-BG"/>
        </w:rPr>
        <w:t>Функционална валута и валута на представяне</w:t>
      </w:r>
      <w:bookmarkEnd w:id="11"/>
    </w:p>
    <w:p w:rsidR="003E2FCF" w:rsidRPr="00BA7402" w:rsidRDefault="003625EB" w:rsidP="000878FE">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Този финансов отчет е представен в Български лева (BGN), която е функционалната валута на Дружествот</w:t>
      </w:r>
      <w:r w:rsidR="00054EA3" w:rsidRPr="00BA7402">
        <w:rPr>
          <w:rFonts w:ascii="Times New Roman" w:hAnsi="Times New Roman" w:cs="Times New Roman"/>
          <w:bCs/>
          <w:color w:val="auto"/>
          <w:sz w:val="20"/>
          <w:szCs w:val="20"/>
          <w:lang w:val="bg-BG"/>
        </w:rPr>
        <w:t xml:space="preserve">о. </w:t>
      </w:r>
      <w:r w:rsidR="00EE7E2D" w:rsidRPr="00BA7402">
        <w:rPr>
          <w:rFonts w:ascii="Times New Roman" w:hAnsi="Times New Roman" w:cs="Times New Roman"/>
          <w:bCs/>
          <w:color w:val="auto"/>
          <w:sz w:val="20"/>
          <w:szCs w:val="20"/>
          <w:lang w:val="bg-BG"/>
        </w:rPr>
        <w:t>Всички суми са закръглени</w:t>
      </w:r>
      <w:r w:rsidRPr="00BA7402">
        <w:rPr>
          <w:rFonts w:ascii="Times New Roman" w:hAnsi="Times New Roman" w:cs="Times New Roman"/>
          <w:bCs/>
          <w:color w:val="auto"/>
          <w:sz w:val="20"/>
          <w:szCs w:val="20"/>
          <w:lang w:val="bg-BG"/>
        </w:rPr>
        <w:t xml:space="preserve"> до хиляда</w:t>
      </w:r>
      <w:r w:rsidR="001D7693" w:rsidRPr="00BA7402">
        <w:rPr>
          <w:rFonts w:ascii="Times New Roman" w:hAnsi="Times New Roman" w:cs="Times New Roman"/>
          <w:bCs/>
          <w:color w:val="auto"/>
          <w:sz w:val="20"/>
          <w:szCs w:val="20"/>
          <w:lang w:val="bg-BG"/>
        </w:rPr>
        <w:t>, освен когато е посочено друго</w:t>
      </w:r>
      <w:r w:rsidR="00385D4D" w:rsidRPr="00BA7402">
        <w:rPr>
          <w:rFonts w:ascii="Times New Roman" w:hAnsi="Times New Roman" w:cs="Times New Roman"/>
          <w:bCs/>
          <w:color w:val="auto"/>
          <w:sz w:val="20"/>
          <w:szCs w:val="20"/>
          <w:lang w:val="bg-BG"/>
        </w:rPr>
        <w:t>.</w:t>
      </w:r>
    </w:p>
    <w:p w:rsidR="007B6522" w:rsidRPr="00BA7402" w:rsidRDefault="00C94D6E" w:rsidP="00C94D6E">
      <w:pPr>
        <w:pStyle w:val="Heading2"/>
        <w:spacing w:before="240" w:after="120" w:line="260" w:lineRule="atLeast"/>
        <w:rPr>
          <w:rFonts w:ascii="Times New Roman" w:hAnsi="Times New Roman"/>
          <w:color w:val="auto"/>
          <w:sz w:val="20"/>
          <w:szCs w:val="20"/>
          <w:lang w:val="bg-BG"/>
        </w:rPr>
      </w:pPr>
      <w:bookmarkStart w:id="12" w:name="_Toc515965322"/>
      <w:r w:rsidRPr="00BA7402">
        <w:rPr>
          <w:rFonts w:ascii="Times New Roman" w:hAnsi="Times New Roman"/>
          <w:color w:val="auto"/>
          <w:sz w:val="20"/>
          <w:szCs w:val="20"/>
          <w:lang w:val="bg-BG"/>
        </w:rPr>
        <w:t>4.</w:t>
      </w:r>
      <w:r w:rsidR="007B6522" w:rsidRPr="00BA7402">
        <w:rPr>
          <w:rFonts w:ascii="Times New Roman" w:hAnsi="Times New Roman"/>
          <w:color w:val="auto"/>
          <w:sz w:val="20"/>
          <w:szCs w:val="20"/>
          <w:lang w:val="bg-BG"/>
        </w:rPr>
        <w:t>Използване на приблизителни оценки и преценки</w:t>
      </w:r>
      <w:bookmarkEnd w:id="12"/>
    </w:p>
    <w:p w:rsidR="00F24792" w:rsidRPr="00BA7402" w:rsidRDefault="00F24792" w:rsidP="000878FE">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При изготвянето на този финансов отчет, ръководството е направило преценки, приблизителни оценки и допускания, които влияят на прилагането на счетоводните политики на Дружеството и на отчетените суми на активите и пасивите, приходите и разходите. Реалният резултат може да бъде различен от тези приблизителни оценки.</w:t>
      </w:r>
    </w:p>
    <w:p w:rsidR="0037088C" w:rsidRPr="00BA7402" w:rsidRDefault="00F24792" w:rsidP="00F53B7F">
      <w:pPr>
        <w:pStyle w:val="Default"/>
        <w:spacing w:before="120" w:line="260" w:lineRule="atLeast"/>
        <w:jc w:val="both"/>
        <w:rPr>
          <w:rFonts w:ascii="Times New Roman" w:hAnsi="Times New Roman" w:cs="Times New Roman"/>
          <w:b/>
          <w:bCs/>
          <w:color w:val="auto"/>
          <w:sz w:val="20"/>
          <w:szCs w:val="20"/>
          <w:lang w:val="bg-BG"/>
        </w:rPr>
      </w:pPr>
      <w:r w:rsidRPr="00BA7402">
        <w:rPr>
          <w:rFonts w:ascii="Times New Roman" w:hAnsi="Times New Roman" w:cs="Times New Roman"/>
          <w:bCs/>
          <w:color w:val="auto"/>
          <w:sz w:val="20"/>
          <w:szCs w:val="20"/>
          <w:lang w:val="bg-BG"/>
        </w:rPr>
        <w:t>Приблизителните оценки и основните допускания се преразглеждат текущо. Преразглеждането на приблизителните оценки се признава проспективно</w:t>
      </w:r>
      <w:r w:rsidR="007B6522" w:rsidRPr="00BA7402">
        <w:rPr>
          <w:rFonts w:ascii="Times New Roman" w:hAnsi="Times New Roman" w:cs="Times New Roman"/>
          <w:bCs/>
          <w:color w:val="auto"/>
          <w:sz w:val="20"/>
          <w:szCs w:val="20"/>
          <w:lang w:val="bg-BG"/>
        </w:rPr>
        <w:t xml:space="preserve">. </w:t>
      </w:r>
    </w:p>
    <w:p w:rsidR="00821B25" w:rsidRPr="00BA7402" w:rsidRDefault="006C6E65" w:rsidP="006C6E65">
      <w:pPr>
        <w:pStyle w:val="Heading2"/>
        <w:spacing w:before="240" w:after="120" w:line="260" w:lineRule="atLeast"/>
        <w:rPr>
          <w:rFonts w:ascii="Times New Roman" w:hAnsi="Times New Roman"/>
          <w:color w:val="auto"/>
          <w:sz w:val="20"/>
          <w:szCs w:val="20"/>
          <w:lang w:val="bg-BG"/>
        </w:rPr>
      </w:pPr>
      <w:bookmarkStart w:id="13" w:name="_Toc515965324"/>
      <w:r>
        <w:rPr>
          <w:rFonts w:ascii="Times New Roman" w:hAnsi="Times New Roman"/>
          <w:color w:val="auto"/>
          <w:sz w:val="20"/>
          <w:szCs w:val="20"/>
          <w:lang w:val="bg-BG"/>
        </w:rPr>
        <w:t>5.</w:t>
      </w:r>
      <w:r w:rsidR="009F659F" w:rsidRPr="00BA7402">
        <w:rPr>
          <w:rFonts w:ascii="Times New Roman" w:hAnsi="Times New Roman"/>
          <w:color w:val="auto"/>
          <w:sz w:val="20"/>
          <w:szCs w:val="20"/>
          <w:lang w:val="bg-BG"/>
        </w:rPr>
        <w:t>Разходи за външни услуги</w:t>
      </w:r>
      <w:bookmarkEnd w:id="13"/>
      <w:r w:rsidR="009F659F" w:rsidRPr="00BA7402">
        <w:rPr>
          <w:rFonts w:ascii="Times New Roman" w:hAnsi="Times New Roman"/>
          <w:color w:val="auto"/>
          <w:sz w:val="20"/>
          <w:szCs w:val="20"/>
          <w:lang w:val="bg-BG"/>
        </w:rPr>
        <w:t xml:space="preserve"> </w:t>
      </w:r>
    </w:p>
    <w:tbl>
      <w:tblPr>
        <w:tblW w:w="0" w:type="auto"/>
        <w:tblLook w:val="04A0" w:firstRow="1" w:lastRow="0" w:firstColumn="1" w:lastColumn="0" w:noHBand="0" w:noVBand="1"/>
      </w:tblPr>
      <w:tblGrid>
        <w:gridCol w:w="5222"/>
        <w:gridCol w:w="898"/>
        <w:gridCol w:w="1329"/>
        <w:gridCol w:w="1330"/>
      </w:tblGrid>
      <w:tr w:rsidR="00821B25" w:rsidRPr="00BA7402" w:rsidTr="009F659F">
        <w:tc>
          <w:tcPr>
            <w:tcW w:w="5222" w:type="dxa"/>
          </w:tcPr>
          <w:p w:rsidR="00821B25" w:rsidRPr="00BA7402" w:rsidRDefault="00821B25" w:rsidP="005421C2">
            <w:pPr>
              <w:pStyle w:val="Default"/>
              <w:spacing w:line="260" w:lineRule="atLeast"/>
              <w:rPr>
                <w:rFonts w:ascii="Times New Roman" w:hAnsi="Times New Roman" w:cs="Times New Roman"/>
                <w:bCs/>
                <w:i/>
                <w:color w:val="auto"/>
                <w:sz w:val="20"/>
                <w:szCs w:val="20"/>
                <w:lang w:val="bg-BG"/>
              </w:rPr>
            </w:pPr>
            <w:r w:rsidRPr="00BA7402">
              <w:rPr>
                <w:rFonts w:ascii="Times New Roman" w:hAnsi="Times New Roman" w:cs="Times New Roman"/>
                <w:bCs/>
                <w:i/>
                <w:color w:val="auto"/>
                <w:sz w:val="20"/>
                <w:szCs w:val="20"/>
                <w:lang w:val="bg-BG"/>
              </w:rPr>
              <w:t>В хиляди лева</w:t>
            </w:r>
          </w:p>
        </w:tc>
        <w:tc>
          <w:tcPr>
            <w:tcW w:w="898" w:type="dxa"/>
          </w:tcPr>
          <w:p w:rsidR="00821B25" w:rsidRPr="00BA7402" w:rsidRDefault="00821B25" w:rsidP="005421C2">
            <w:pPr>
              <w:pStyle w:val="Default"/>
              <w:spacing w:line="260" w:lineRule="atLeast"/>
              <w:jc w:val="center"/>
              <w:rPr>
                <w:rFonts w:ascii="Times New Roman" w:hAnsi="Times New Roman" w:cs="Times New Roman"/>
                <w:b/>
                <w:bCs/>
                <w:i/>
                <w:color w:val="auto"/>
                <w:sz w:val="20"/>
                <w:szCs w:val="20"/>
                <w:lang w:val="bg-BG"/>
              </w:rPr>
            </w:pPr>
            <w:r w:rsidRPr="00BA7402">
              <w:rPr>
                <w:rFonts w:ascii="Times New Roman" w:hAnsi="Times New Roman" w:cs="Times New Roman"/>
                <w:b/>
                <w:bCs/>
                <w:i/>
                <w:color w:val="auto"/>
                <w:sz w:val="20"/>
                <w:szCs w:val="20"/>
                <w:lang w:val="bg-BG"/>
              </w:rPr>
              <w:t>Бел.</w:t>
            </w:r>
          </w:p>
        </w:tc>
        <w:tc>
          <w:tcPr>
            <w:tcW w:w="1329" w:type="dxa"/>
            <w:shd w:val="clear" w:color="auto" w:fill="F2F2F2"/>
          </w:tcPr>
          <w:p w:rsidR="00821B25" w:rsidRPr="00BA7402" w:rsidRDefault="008D46FF" w:rsidP="00D63A3B">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lang w:val="bg-BG"/>
              </w:rPr>
              <w:t>201</w:t>
            </w:r>
            <w:r w:rsidR="00D63A3B" w:rsidRPr="00BA7402">
              <w:rPr>
                <w:rFonts w:ascii="Times New Roman" w:hAnsi="Times New Roman" w:cs="Times New Roman"/>
                <w:b/>
                <w:bCs/>
                <w:color w:val="auto"/>
                <w:sz w:val="20"/>
                <w:szCs w:val="20"/>
              </w:rPr>
              <w:t>9</w:t>
            </w:r>
          </w:p>
        </w:tc>
        <w:tc>
          <w:tcPr>
            <w:tcW w:w="1330" w:type="dxa"/>
          </w:tcPr>
          <w:p w:rsidR="00821B25" w:rsidRPr="00BA7402" w:rsidRDefault="008D46FF" w:rsidP="00D63A3B">
            <w:pPr>
              <w:pStyle w:val="Default"/>
              <w:spacing w:line="260" w:lineRule="atLeast"/>
              <w:jc w:val="right"/>
              <w:rPr>
                <w:rFonts w:ascii="Times New Roman" w:hAnsi="Times New Roman" w:cs="Times New Roman"/>
                <w:b/>
                <w:bCs/>
                <w:color w:val="auto"/>
                <w:sz w:val="20"/>
                <w:szCs w:val="20"/>
                <w:lang w:val="bg-BG"/>
              </w:rPr>
            </w:pPr>
            <w:r w:rsidRPr="00BA7402">
              <w:rPr>
                <w:rFonts w:ascii="Times New Roman" w:hAnsi="Times New Roman" w:cs="Times New Roman"/>
                <w:b/>
                <w:bCs/>
                <w:color w:val="auto"/>
                <w:sz w:val="20"/>
                <w:szCs w:val="20"/>
                <w:lang w:val="bg-BG"/>
              </w:rPr>
              <w:t>201</w:t>
            </w:r>
            <w:r w:rsidR="00D63A3B" w:rsidRPr="00BA7402">
              <w:rPr>
                <w:rFonts w:ascii="Times New Roman" w:hAnsi="Times New Roman" w:cs="Times New Roman"/>
                <w:b/>
                <w:bCs/>
                <w:color w:val="auto"/>
                <w:sz w:val="20"/>
                <w:szCs w:val="20"/>
              </w:rPr>
              <w:t>8</w:t>
            </w:r>
          </w:p>
        </w:tc>
      </w:tr>
      <w:tr w:rsidR="00821B25" w:rsidRPr="00BA7402" w:rsidTr="009F659F">
        <w:tc>
          <w:tcPr>
            <w:tcW w:w="5222" w:type="dxa"/>
          </w:tcPr>
          <w:p w:rsidR="00821B25" w:rsidRPr="00BA7402" w:rsidRDefault="00B61F24" w:rsidP="00000A61">
            <w:pPr>
              <w:pStyle w:val="Default"/>
              <w:spacing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О</w:t>
            </w:r>
            <w:r w:rsidR="00536481" w:rsidRPr="00BA7402">
              <w:rPr>
                <w:rFonts w:ascii="Times New Roman" w:hAnsi="Times New Roman" w:cs="Times New Roman"/>
                <w:bCs/>
                <w:color w:val="auto"/>
                <w:sz w:val="20"/>
                <w:szCs w:val="20"/>
                <w:lang w:val="bg-BG"/>
              </w:rPr>
              <w:t>дит</w:t>
            </w:r>
            <w:r w:rsidR="00000A61" w:rsidRPr="00BA7402">
              <w:rPr>
                <w:rFonts w:ascii="Times New Roman" w:hAnsi="Times New Roman" w:cs="Times New Roman"/>
                <w:bCs/>
                <w:color w:val="auto"/>
                <w:sz w:val="20"/>
                <w:szCs w:val="20"/>
                <w:lang w:val="bg-BG"/>
              </w:rPr>
              <w:t>,</w:t>
            </w:r>
            <w:r w:rsidRPr="00BA7402">
              <w:rPr>
                <w:rFonts w:ascii="Times New Roman" w:hAnsi="Times New Roman" w:cs="Times New Roman"/>
                <w:bCs/>
                <w:color w:val="auto"/>
                <w:sz w:val="20"/>
                <w:szCs w:val="20"/>
                <w:lang w:val="bg-BG"/>
              </w:rPr>
              <w:t xml:space="preserve">счетоводни </w:t>
            </w:r>
            <w:r w:rsidR="00000A61" w:rsidRPr="00BA7402">
              <w:rPr>
                <w:rFonts w:ascii="Times New Roman" w:hAnsi="Times New Roman" w:cs="Times New Roman"/>
                <w:bCs/>
                <w:color w:val="auto"/>
                <w:sz w:val="20"/>
                <w:szCs w:val="20"/>
                <w:lang w:val="bg-BG"/>
              </w:rPr>
              <w:t xml:space="preserve">и други </w:t>
            </w:r>
            <w:r w:rsidR="00536481" w:rsidRPr="00BA7402">
              <w:rPr>
                <w:rFonts w:ascii="Times New Roman" w:hAnsi="Times New Roman" w:cs="Times New Roman"/>
                <w:bCs/>
                <w:color w:val="auto"/>
                <w:sz w:val="20"/>
                <w:szCs w:val="20"/>
                <w:lang w:val="bg-BG"/>
              </w:rPr>
              <w:t>услуги</w:t>
            </w:r>
          </w:p>
        </w:tc>
        <w:tc>
          <w:tcPr>
            <w:tcW w:w="898" w:type="dxa"/>
          </w:tcPr>
          <w:p w:rsidR="00821B25" w:rsidRPr="00BA7402" w:rsidRDefault="00821B25" w:rsidP="005421C2">
            <w:pPr>
              <w:pStyle w:val="Default"/>
              <w:spacing w:line="260" w:lineRule="atLeast"/>
              <w:jc w:val="center"/>
              <w:rPr>
                <w:rFonts w:ascii="Times New Roman" w:hAnsi="Times New Roman" w:cs="Times New Roman"/>
                <w:bCs/>
                <w:i/>
                <w:color w:val="auto"/>
                <w:sz w:val="20"/>
                <w:szCs w:val="20"/>
                <w:lang w:val="bg-BG"/>
              </w:rPr>
            </w:pPr>
          </w:p>
        </w:tc>
        <w:tc>
          <w:tcPr>
            <w:tcW w:w="1329" w:type="dxa"/>
            <w:shd w:val="clear" w:color="auto" w:fill="F2F2F2"/>
          </w:tcPr>
          <w:p w:rsidR="00821B25" w:rsidRPr="00BA7402" w:rsidRDefault="00D63A3B" w:rsidP="00D63A3B">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1</w:t>
            </w:r>
          </w:p>
        </w:tc>
        <w:tc>
          <w:tcPr>
            <w:tcW w:w="1330" w:type="dxa"/>
          </w:tcPr>
          <w:p w:rsidR="00821B25" w:rsidRPr="00BA7402" w:rsidRDefault="00000A61" w:rsidP="00000A61">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2</w:t>
            </w:r>
          </w:p>
        </w:tc>
      </w:tr>
      <w:tr w:rsidR="00D63A3B" w:rsidRPr="00BA7402" w:rsidTr="009F659F">
        <w:tc>
          <w:tcPr>
            <w:tcW w:w="5222" w:type="dxa"/>
          </w:tcPr>
          <w:p w:rsidR="00D63A3B" w:rsidRPr="00BA7402" w:rsidRDefault="00D63A3B" w:rsidP="005421C2">
            <w:pPr>
              <w:pStyle w:val="Default"/>
              <w:spacing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Такси по изпълнителни дела</w:t>
            </w:r>
          </w:p>
        </w:tc>
        <w:tc>
          <w:tcPr>
            <w:tcW w:w="898" w:type="dxa"/>
          </w:tcPr>
          <w:p w:rsidR="00D63A3B" w:rsidRPr="00BA7402" w:rsidRDefault="00D63A3B" w:rsidP="005421C2">
            <w:pPr>
              <w:pStyle w:val="Default"/>
              <w:spacing w:line="260" w:lineRule="atLeast"/>
              <w:jc w:val="center"/>
              <w:rPr>
                <w:rFonts w:ascii="Times New Roman" w:hAnsi="Times New Roman" w:cs="Times New Roman"/>
                <w:bCs/>
                <w:i/>
                <w:color w:val="auto"/>
                <w:sz w:val="20"/>
                <w:szCs w:val="20"/>
                <w:lang w:val="bg-BG"/>
              </w:rPr>
            </w:pPr>
          </w:p>
        </w:tc>
        <w:tc>
          <w:tcPr>
            <w:tcW w:w="1329" w:type="dxa"/>
            <w:shd w:val="clear" w:color="auto" w:fill="F2F2F2"/>
          </w:tcPr>
          <w:p w:rsidR="00D63A3B" w:rsidRPr="00BA7402" w:rsidRDefault="00000A61" w:rsidP="00000A61">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3</w:t>
            </w:r>
          </w:p>
        </w:tc>
        <w:tc>
          <w:tcPr>
            <w:tcW w:w="1330" w:type="dxa"/>
          </w:tcPr>
          <w:p w:rsidR="00D63A3B" w:rsidRPr="00BA7402" w:rsidRDefault="00D63A3B" w:rsidP="00D63A3B">
            <w:pPr>
              <w:pStyle w:val="Default"/>
              <w:spacing w:line="260" w:lineRule="atLeast"/>
              <w:jc w:val="right"/>
              <w:rPr>
                <w:rFonts w:ascii="Times New Roman" w:hAnsi="Times New Roman" w:cs="Times New Roman"/>
                <w:bCs/>
                <w:color w:val="auto"/>
                <w:sz w:val="20"/>
                <w:szCs w:val="20"/>
              </w:rPr>
            </w:pPr>
          </w:p>
        </w:tc>
      </w:tr>
      <w:tr w:rsidR="00000A61" w:rsidRPr="00BA7402" w:rsidTr="009F659F">
        <w:tc>
          <w:tcPr>
            <w:tcW w:w="5222" w:type="dxa"/>
          </w:tcPr>
          <w:p w:rsidR="00000A61" w:rsidRPr="00BA7402" w:rsidRDefault="00000A61" w:rsidP="005421C2">
            <w:pPr>
              <w:pStyle w:val="Default"/>
              <w:spacing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Такси за общ фин. надзор</w:t>
            </w:r>
          </w:p>
        </w:tc>
        <w:tc>
          <w:tcPr>
            <w:tcW w:w="898" w:type="dxa"/>
          </w:tcPr>
          <w:p w:rsidR="00000A61" w:rsidRPr="00BA7402" w:rsidRDefault="00000A61" w:rsidP="005421C2">
            <w:pPr>
              <w:pStyle w:val="Default"/>
              <w:spacing w:line="260" w:lineRule="atLeast"/>
              <w:jc w:val="center"/>
              <w:rPr>
                <w:rFonts w:ascii="Times New Roman" w:hAnsi="Times New Roman" w:cs="Times New Roman"/>
                <w:bCs/>
                <w:i/>
                <w:color w:val="auto"/>
                <w:sz w:val="20"/>
                <w:szCs w:val="20"/>
                <w:lang w:val="bg-BG"/>
              </w:rPr>
            </w:pPr>
          </w:p>
        </w:tc>
        <w:tc>
          <w:tcPr>
            <w:tcW w:w="1329" w:type="dxa"/>
            <w:shd w:val="clear" w:color="auto" w:fill="F2F2F2"/>
          </w:tcPr>
          <w:p w:rsidR="00000A61" w:rsidRPr="00BA7402" w:rsidRDefault="00000A61" w:rsidP="00D63A3B">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1</w:t>
            </w:r>
          </w:p>
        </w:tc>
        <w:tc>
          <w:tcPr>
            <w:tcW w:w="1330" w:type="dxa"/>
          </w:tcPr>
          <w:p w:rsidR="00000A61" w:rsidRPr="00BA7402" w:rsidRDefault="00000A61" w:rsidP="00D63A3B">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1</w:t>
            </w:r>
          </w:p>
        </w:tc>
      </w:tr>
      <w:tr w:rsidR="00837740" w:rsidRPr="00BA7402" w:rsidTr="009F659F">
        <w:tc>
          <w:tcPr>
            <w:tcW w:w="5222" w:type="dxa"/>
          </w:tcPr>
          <w:p w:rsidR="00837740" w:rsidRPr="00BA7402" w:rsidRDefault="00837740" w:rsidP="00FC4CFC">
            <w:pPr>
              <w:pStyle w:val="Style56"/>
              <w:widowControl/>
              <w:spacing w:line="240" w:lineRule="auto"/>
              <w:rPr>
                <w:rStyle w:val="FontStyle156"/>
                <w:rFonts w:ascii="Times New Roman" w:hAnsi="Times New Roman" w:cs="Times New Roman"/>
                <w:sz w:val="20"/>
                <w:szCs w:val="20"/>
                <w:lang w:val="bg-BG"/>
              </w:rPr>
            </w:pPr>
          </w:p>
        </w:tc>
        <w:tc>
          <w:tcPr>
            <w:tcW w:w="898" w:type="dxa"/>
          </w:tcPr>
          <w:p w:rsidR="00837740" w:rsidRPr="00BA7402" w:rsidRDefault="00837740" w:rsidP="005421C2">
            <w:pPr>
              <w:pStyle w:val="Default"/>
              <w:spacing w:line="260" w:lineRule="atLeast"/>
              <w:jc w:val="center"/>
              <w:rPr>
                <w:rFonts w:ascii="Times New Roman" w:hAnsi="Times New Roman" w:cs="Times New Roman"/>
                <w:bCs/>
                <w:i/>
                <w:color w:val="auto"/>
                <w:sz w:val="20"/>
                <w:szCs w:val="20"/>
                <w:lang w:val="bg-BG"/>
              </w:rPr>
            </w:pPr>
          </w:p>
        </w:tc>
        <w:tc>
          <w:tcPr>
            <w:tcW w:w="1329" w:type="dxa"/>
            <w:tcBorders>
              <w:top w:val="single" w:sz="4" w:space="0" w:color="auto"/>
              <w:bottom w:val="single" w:sz="12" w:space="0" w:color="auto"/>
            </w:tcBorders>
            <w:shd w:val="clear" w:color="auto" w:fill="F2F2F2"/>
            <w:vAlign w:val="bottom"/>
          </w:tcPr>
          <w:p w:rsidR="00837740" w:rsidRPr="00BA7402" w:rsidRDefault="00D63A3B" w:rsidP="00D63A3B">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rPr>
              <w:t>5</w:t>
            </w:r>
          </w:p>
        </w:tc>
        <w:tc>
          <w:tcPr>
            <w:tcW w:w="1330" w:type="dxa"/>
            <w:tcBorders>
              <w:top w:val="single" w:sz="4" w:space="0" w:color="auto"/>
              <w:bottom w:val="single" w:sz="12" w:space="0" w:color="auto"/>
            </w:tcBorders>
            <w:vAlign w:val="bottom"/>
          </w:tcPr>
          <w:p w:rsidR="00837740" w:rsidRPr="00BA7402" w:rsidRDefault="00D63A3B" w:rsidP="00D63A3B">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rPr>
              <w:t>3</w:t>
            </w:r>
          </w:p>
        </w:tc>
      </w:tr>
    </w:tbl>
    <w:p w:rsidR="00EC65AC" w:rsidRPr="00BA7402" w:rsidRDefault="006C6E65" w:rsidP="006C6E65">
      <w:pPr>
        <w:pStyle w:val="Heading2"/>
        <w:spacing w:before="240" w:after="120" w:line="260" w:lineRule="atLeast"/>
        <w:rPr>
          <w:rFonts w:ascii="Times New Roman" w:hAnsi="Times New Roman"/>
          <w:color w:val="auto"/>
          <w:sz w:val="20"/>
          <w:szCs w:val="20"/>
          <w:lang w:val="bg-BG"/>
        </w:rPr>
      </w:pPr>
      <w:bookmarkStart w:id="14" w:name="_Toc515965325"/>
      <w:r>
        <w:rPr>
          <w:rFonts w:ascii="Times New Roman" w:hAnsi="Times New Roman"/>
          <w:color w:val="auto"/>
          <w:sz w:val="20"/>
          <w:szCs w:val="20"/>
          <w:lang w:val="bg-BG"/>
        </w:rPr>
        <w:lastRenderedPageBreak/>
        <w:t>6.</w:t>
      </w:r>
      <w:r w:rsidR="00506FF2" w:rsidRPr="00BA7402">
        <w:rPr>
          <w:rFonts w:ascii="Times New Roman" w:hAnsi="Times New Roman"/>
          <w:color w:val="auto"/>
          <w:sz w:val="20"/>
          <w:szCs w:val="20"/>
          <w:lang w:val="bg-BG"/>
        </w:rPr>
        <w:t>Финансови приходи и разходи</w:t>
      </w:r>
      <w:bookmarkEnd w:id="14"/>
    </w:p>
    <w:tbl>
      <w:tblPr>
        <w:tblW w:w="0" w:type="auto"/>
        <w:tblLook w:val="04A0" w:firstRow="1" w:lastRow="0" w:firstColumn="1" w:lastColumn="0" w:noHBand="0" w:noVBand="1"/>
      </w:tblPr>
      <w:tblGrid>
        <w:gridCol w:w="5945"/>
        <w:gridCol w:w="627"/>
        <w:gridCol w:w="1161"/>
        <w:gridCol w:w="1046"/>
      </w:tblGrid>
      <w:tr w:rsidR="00C36901" w:rsidRPr="00BA7402" w:rsidTr="00AA4643">
        <w:tc>
          <w:tcPr>
            <w:tcW w:w="5945" w:type="dxa"/>
          </w:tcPr>
          <w:p w:rsidR="00C36901" w:rsidRPr="00BA7402" w:rsidRDefault="00C36901" w:rsidP="005421C2">
            <w:pPr>
              <w:pStyle w:val="Default"/>
              <w:spacing w:line="260" w:lineRule="atLeast"/>
              <w:jc w:val="both"/>
              <w:rPr>
                <w:rFonts w:ascii="Times New Roman" w:hAnsi="Times New Roman" w:cs="Times New Roman"/>
                <w:bCs/>
                <w:i/>
                <w:color w:val="auto"/>
                <w:sz w:val="20"/>
                <w:szCs w:val="20"/>
                <w:lang w:val="bg-BG"/>
              </w:rPr>
            </w:pPr>
            <w:r w:rsidRPr="00BA7402">
              <w:rPr>
                <w:rFonts w:ascii="Times New Roman" w:hAnsi="Times New Roman" w:cs="Times New Roman"/>
                <w:bCs/>
                <w:i/>
                <w:color w:val="auto"/>
                <w:sz w:val="20"/>
                <w:szCs w:val="20"/>
                <w:lang w:val="bg-BG"/>
              </w:rPr>
              <w:t>В хиляди лева</w:t>
            </w:r>
          </w:p>
        </w:tc>
        <w:tc>
          <w:tcPr>
            <w:tcW w:w="627" w:type="dxa"/>
            <w:vAlign w:val="bottom"/>
          </w:tcPr>
          <w:p w:rsidR="00C36901" w:rsidRPr="00BA7402" w:rsidRDefault="00C36901" w:rsidP="009C1DDD">
            <w:pPr>
              <w:pStyle w:val="Default"/>
              <w:spacing w:line="260" w:lineRule="atLeast"/>
              <w:jc w:val="center"/>
              <w:rPr>
                <w:rFonts w:ascii="Times New Roman" w:hAnsi="Times New Roman" w:cs="Times New Roman"/>
                <w:b/>
                <w:bCs/>
                <w:i/>
                <w:color w:val="auto"/>
                <w:sz w:val="20"/>
                <w:szCs w:val="20"/>
                <w:lang w:val="bg-BG"/>
              </w:rPr>
            </w:pPr>
            <w:r w:rsidRPr="00BA7402">
              <w:rPr>
                <w:rFonts w:ascii="Times New Roman" w:hAnsi="Times New Roman" w:cs="Times New Roman"/>
                <w:b/>
                <w:bCs/>
                <w:i/>
                <w:color w:val="auto"/>
                <w:sz w:val="20"/>
                <w:szCs w:val="20"/>
                <w:lang w:val="bg-BG"/>
              </w:rPr>
              <w:t>Бел.</w:t>
            </w:r>
          </w:p>
        </w:tc>
        <w:tc>
          <w:tcPr>
            <w:tcW w:w="1161" w:type="dxa"/>
            <w:shd w:val="clear" w:color="auto" w:fill="F2F2F2"/>
          </w:tcPr>
          <w:p w:rsidR="00C36901" w:rsidRPr="00BA7402" w:rsidRDefault="008D46FF" w:rsidP="008823DF">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lang w:val="bg-BG"/>
              </w:rPr>
              <w:t>201</w:t>
            </w:r>
            <w:r w:rsidR="008823DF" w:rsidRPr="00BA7402">
              <w:rPr>
                <w:rFonts w:ascii="Times New Roman" w:hAnsi="Times New Roman" w:cs="Times New Roman"/>
                <w:b/>
                <w:bCs/>
                <w:color w:val="auto"/>
                <w:sz w:val="20"/>
                <w:szCs w:val="20"/>
                <w:lang w:val="bg-BG"/>
              </w:rPr>
              <w:t>9</w:t>
            </w:r>
          </w:p>
        </w:tc>
        <w:tc>
          <w:tcPr>
            <w:tcW w:w="1046" w:type="dxa"/>
          </w:tcPr>
          <w:p w:rsidR="00C36901" w:rsidRPr="00BA7402" w:rsidRDefault="008D46FF" w:rsidP="008823DF">
            <w:pPr>
              <w:pStyle w:val="Default"/>
              <w:spacing w:line="260" w:lineRule="atLeast"/>
              <w:jc w:val="right"/>
              <w:rPr>
                <w:rFonts w:ascii="Times New Roman" w:hAnsi="Times New Roman" w:cs="Times New Roman"/>
                <w:b/>
                <w:bCs/>
                <w:color w:val="auto"/>
                <w:sz w:val="20"/>
                <w:szCs w:val="20"/>
                <w:lang w:val="bg-BG"/>
              </w:rPr>
            </w:pPr>
            <w:r w:rsidRPr="00BA7402">
              <w:rPr>
                <w:rFonts w:ascii="Times New Roman" w:hAnsi="Times New Roman" w:cs="Times New Roman"/>
                <w:b/>
                <w:bCs/>
                <w:color w:val="auto"/>
                <w:sz w:val="20"/>
                <w:szCs w:val="20"/>
                <w:lang w:val="bg-BG"/>
              </w:rPr>
              <w:t>201</w:t>
            </w:r>
            <w:r w:rsidR="008823DF" w:rsidRPr="00BA7402">
              <w:rPr>
                <w:rFonts w:ascii="Times New Roman" w:hAnsi="Times New Roman" w:cs="Times New Roman"/>
                <w:b/>
                <w:bCs/>
                <w:color w:val="auto"/>
                <w:sz w:val="20"/>
                <w:szCs w:val="20"/>
                <w:lang w:val="bg-BG"/>
              </w:rPr>
              <w:t>8</w:t>
            </w:r>
          </w:p>
        </w:tc>
      </w:tr>
      <w:tr w:rsidR="00C36901" w:rsidRPr="00BA7402" w:rsidTr="00AA4643">
        <w:tc>
          <w:tcPr>
            <w:tcW w:w="5945" w:type="dxa"/>
            <w:vAlign w:val="bottom"/>
          </w:tcPr>
          <w:p w:rsidR="00C36901" w:rsidRPr="00BA7402" w:rsidRDefault="00C36901" w:rsidP="005421C2">
            <w:pPr>
              <w:pStyle w:val="Style56"/>
              <w:widowControl/>
              <w:spacing w:line="240" w:lineRule="auto"/>
              <w:jc w:val="both"/>
              <w:rPr>
                <w:rStyle w:val="FontStyle156"/>
                <w:rFonts w:ascii="Times New Roman" w:hAnsi="Times New Roman" w:cs="Times New Roman"/>
                <w:sz w:val="20"/>
                <w:szCs w:val="20"/>
                <w:vertAlign w:val="superscript"/>
                <w:lang w:val="bg-BG"/>
              </w:rPr>
            </w:pPr>
          </w:p>
        </w:tc>
        <w:tc>
          <w:tcPr>
            <w:tcW w:w="627" w:type="dxa"/>
            <w:vAlign w:val="bottom"/>
          </w:tcPr>
          <w:p w:rsidR="00C36901" w:rsidRPr="00BA7402" w:rsidRDefault="00C36901" w:rsidP="005421C2">
            <w:pPr>
              <w:pStyle w:val="Default"/>
              <w:spacing w:line="260" w:lineRule="atLeast"/>
              <w:jc w:val="both"/>
              <w:rPr>
                <w:rFonts w:ascii="Times New Roman" w:hAnsi="Times New Roman" w:cs="Times New Roman"/>
                <w:bCs/>
                <w:i/>
                <w:color w:val="auto"/>
                <w:sz w:val="20"/>
                <w:szCs w:val="20"/>
                <w:lang w:val="bg-BG"/>
              </w:rPr>
            </w:pPr>
          </w:p>
        </w:tc>
        <w:tc>
          <w:tcPr>
            <w:tcW w:w="1161" w:type="dxa"/>
            <w:shd w:val="clear" w:color="auto" w:fill="F2F2F2"/>
            <w:vAlign w:val="bottom"/>
          </w:tcPr>
          <w:p w:rsidR="00C36901" w:rsidRPr="00BA7402" w:rsidRDefault="00C36901" w:rsidP="005421C2">
            <w:pPr>
              <w:pStyle w:val="Default"/>
              <w:spacing w:line="260" w:lineRule="atLeast"/>
              <w:jc w:val="right"/>
              <w:rPr>
                <w:rFonts w:ascii="Times New Roman" w:hAnsi="Times New Roman" w:cs="Times New Roman"/>
                <w:bCs/>
                <w:color w:val="auto"/>
                <w:sz w:val="20"/>
                <w:szCs w:val="20"/>
                <w:lang w:val="bg-BG"/>
              </w:rPr>
            </w:pPr>
          </w:p>
        </w:tc>
        <w:tc>
          <w:tcPr>
            <w:tcW w:w="1046" w:type="dxa"/>
            <w:vAlign w:val="bottom"/>
          </w:tcPr>
          <w:p w:rsidR="00C36901" w:rsidRPr="00BA7402" w:rsidRDefault="00C36901" w:rsidP="005421C2">
            <w:pPr>
              <w:pStyle w:val="Default"/>
              <w:spacing w:line="260" w:lineRule="atLeast"/>
              <w:jc w:val="right"/>
              <w:rPr>
                <w:rFonts w:ascii="Times New Roman" w:hAnsi="Times New Roman" w:cs="Times New Roman"/>
                <w:bCs/>
                <w:color w:val="auto"/>
                <w:sz w:val="20"/>
                <w:szCs w:val="20"/>
                <w:lang w:val="bg-BG"/>
              </w:rPr>
            </w:pPr>
          </w:p>
        </w:tc>
      </w:tr>
      <w:tr w:rsidR="00B61F24" w:rsidRPr="00BA7402" w:rsidTr="00AA4643">
        <w:tc>
          <w:tcPr>
            <w:tcW w:w="5945" w:type="dxa"/>
            <w:vAlign w:val="bottom"/>
          </w:tcPr>
          <w:p w:rsidR="00B61F24" w:rsidRPr="00BA7402" w:rsidRDefault="00A85E70" w:rsidP="00A85E70">
            <w:pPr>
              <w:pStyle w:val="Style56"/>
              <w:widowControl/>
              <w:spacing w:line="240" w:lineRule="auto"/>
              <w:jc w:val="both"/>
              <w:rPr>
                <w:rStyle w:val="FontStyle156"/>
                <w:rFonts w:ascii="Times New Roman" w:hAnsi="Times New Roman" w:cs="Times New Roman"/>
                <w:b/>
                <w:sz w:val="20"/>
                <w:szCs w:val="20"/>
                <w:lang w:val="bg-BG"/>
              </w:rPr>
            </w:pPr>
            <w:r w:rsidRPr="00BA7402">
              <w:rPr>
                <w:rStyle w:val="FontStyle156"/>
                <w:rFonts w:ascii="Times New Roman" w:hAnsi="Times New Roman" w:cs="Times New Roman"/>
                <w:b/>
                <w:sz w:val="20"/>
                <w:szCs w:val="20"/>
                <w:lang w:val="bg-BG"/>
              </w:rPr>
              <w:t>Финансови приходи</w:t>
            </w:r>
          </w:p>
        </w:tc>
        <w:tc>
          <w:tcPr>
            <w:tcW w:w="627" w:type="dxa"/>
            <w:vAlign w:val="bottom"/>
          </w:tcPr>
          <w:p w:rsidR="00B61F24" w:rsidRPr="00BA7402" w:rsidRDefault="00B61F24" w:rsidP="00B61F24">
            <w:pPr>
              <w:pStyle w:val="Default"/>
              <w:spacing w:line="260" w:lineRule="atLeast"/>
              <w:jc w:val="both"/>
              <w:rPr>
                <w:rFonts w:ascii="Times New Roman" w:hAnsi="Times New Roman" w:cs="Times New Roman"/>
                <w:bCs/>
                <w:i/>
                <w:color w:val="auto"/>
                <w:sz w:val="20"/>
                <w:szCs w:val="20"/>
                <w:lang w:val="bg-BG"/>
              </w:rPr>
            </w:pPr>
          </w:p>
        </w:tc>
        <w:tc>
          <w:tcPr>
            <w:tcW w:w="1161" w:type="dxa"/>
            <w:shd w:val="clear" w:color="auto" w:fill="F2F2F2"/>
            <w:vAlign w:val="bottom"/>
          </w:tcPr>
          <w:p w:rsidR="00B61F24" w:rsidRPr="00BA7402" w:rsidRDefault="00B61F24" w:rsidP="008823DF">
            <w:pPr>
              <w:pStyle w:val="Default"/>
              <w:spacing w:line="260" w:lineRule="atLeast"/>
              <w:jc w:val="right"/>
              <w:rPr>
                <w:rFonts w:ascii="Times New Roman" w:hAnsi="Times New Roman" w:cs="Times New Roman"/>
                <w:bCs/>
                <w:color w:val="auto"/>
                <w:sz w:val="20"/>
                <w:szCs w:val="20"/>
                <w:lang w:val="bg-BG"/>
              </w:rPr>
            </w:pPr>
          </w:p>
        </w:tc>
        <w:tc>
          <w:tcPr>
            <w:tcW w:w="1046" w:type="dxa"/>
            <w:vAlign w:val="bottom"/>
          </w:tcPr>
          <w:p w:rsidR="00B61F24" w:rsidRPr="00BA7402" w:rsidRDefault="00B61F24" w:rsidP="008823DF">
            <w:pPr>
              <w:pStyle w:val="Default"/>
              <w:spacing w:line="260" w:lineRule="atLeast"/>
              <w:jc w:val="right"/>
              <w:rPr>
                <w:rFonts w:ascii="Times New Roman" w:hAnsi="Times New Roman" w:cs="Times New Roman"/>
                <w:bCs/>
                <w:color w:val="auto"/>
                <w:sz w:val="20"/>
                <w:szCs w:val="20"/>
                <w:lang w:val="bg-BG"/>
              </w:rPr>
            </w:pPr>
          </w:p>
        </w:tc>
      </w:tr>
      <w:tr w:rsidR="00A85E70" w:rsidRPr="00BA7402" w:rsidTr="00AA4643">
        <w:tc>
          <w:tcPr>
            <w:tcW w:w="5945" w:type="dxa"/>
            <w:vAlign w:val="bottom"/>
          </w:tcPr>
          <w:p w:rsidR="00A85E70" w:rsidRPr="00BA7402" w:rsidRDefault="00A85E70" w:rsidP="00B61F24">
            <w:pPr>
              <w:pStyle w:val="Style56"/>
              <w:widowControl/>
              <w:spacing w:line="240" w:lineRule="auto"/>
              <w:jc w:val="both"/>
              <w:rPr>
                <w:rStyle w:val="FontStyle156"/>
                <w:rFonts w:ascii="Times New Roman" w:hAnsi="Times New Roman" w:cs="Times New Roman"/>
                <w:sz w:val="20"/>
                <w:szCs w:val="20"/>
                <w:lang w:val="bg-BG"/>
              </w:rPr>
            </w:pPr>
            <w:r w:rsidRPr="00BA7402">
              <w:rPr>
                <w:rStyle w:val="FontStyle156"/>
                <w:rFonts w:ascii="Times New Roman" w:hAnsi="Times New Roman" w:cs="Times New Roman"/>
                <w:sz w:val="20"/>
                <w:szCs w:val="20"/>
                <w:lang w:val="bg-BG"/>
              </w:rPr>
              <w:t>Приходи от лихви</w:t>
            </w:r>
          </w:p>
        </w:tc>
        <w:tc>
          <w:tcPr>
            <w:tcW w:w="627" w:type="dxa"/>
            <w:vAlign w:val="bottom"/>
          </w:tcPr>
          <w:p w:rsidR="00A85E70" w:rsidRPr="00BA7402" w:rsidRDefault="00A85E70" w:rsidP="00B61F24">
            <w:pPr>
              <w:pStyle w:val="Default"/>
              <w:spacing w:line="260" w:lineRule="atLeast"/>
              <w:jc w:val="both"/>
              <w:rPr>
                <w:rFonts w:ascii="Times New Roman" w:hAnsi="Times New Roman" w:cs="Times New Roman"/>
                <w:bCs/>
                <w:i/>
                <w:color w:val="auto"/>
                <w:sz w:val="20"/>
                <w:szCs w:val="20"/>
                <w:lang w:val="bg-BG"/>
              </w:rPr>
            </w:pPr>
          </w:p>
        </w:tc>
        <w:tc>
          <w:tcPr>
            <w:tcW w:w="1161" w:type="dxa"/>
            <w:shd w:val="clear" w:color="auto" w:fill="F2F2F2"/>
            <w:vAlign w:val="bottom"/>
          </w:tcPr>
          <w:p w:rsidR="00A85E70" w:rsidRPr="00BA7402" w:rsidRDefault="00A85E70" w:rsidP="008823DF">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p>
        </w:tc>
        <w:tc>
          <w:tcPr>
            <w:tcW w:w="1046" w:type="dxa"/>
            <w:vAlign w:val="bottom"/>
          </w:tcPr>
          <w:p w:rsidR="00A85E70" w:rsidRPr="00BA7402" w:rsidRDefault="00A85E70" w:rsidP="008823DF">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p>
        </w:tc>
      </w:tr>
      <w:tr w:rsidR="00B61F24" w:rsidRPr="00BA7402" w:rsidTr="00AA4643">
        <w:tc>
          <w:tcPr>
            <w:tcW w:w="5945" w:type="dxa"/>
            <w:vAlign w:val="bottom"/>
          </w:tcPr>
          <w:p w:rsidR="00B61F24" w:rsidRPr="00BA7402" w:rsidRDefault="00B61F24" w:rsidP="00B61F24">
            <w:pPr>
              <w:pStyle w:val="Style56"/>
              <w:widowControl/>
              <w:spacing w:line="240" w:lineRule="auto"/>
              <w:jc w:val="both"/>
              <w:rPr>
                <w:rStyle w:val="FontStyle156"/>
                <w:rFonts w:ascii="Times New Roman" w:hAnsi="Times New Roman" w:cs="Times New Roman"/>
                <w:b/>
                <w:sz w:val="20"/>
                <w:szCs w:val="20"/>
                <w:vertAlign w:val="superscript"/>
                <w:lang w:val="bg-BG"/>
              </w:rPr>
            </w:pPr>
            <w:r w:rsidRPr="00BA7402">
              <w:rPr>
                <w:rStyle w:val="FontStyle156"/>
                <w:rFonts w:ascii="Times New Roman" w:hAnsi="Times New Roman" w:cs="Times New Roman"/>
                <w:b/>
                <w:sz w:val="20"/>
                <w:szCs w:val="20"/>
                <w:lang w:val="bg-BG"/>
              </w:rPr>
              <w:t>Финансови разходи</w:t>
            </w:r>
          </w:p>
        </w:tc>
        <w:tc>
          <w:tcPr>
            <w:tcW w:w="627" w:type="dxa"/>
            <w:vAlign w:val="bottom"/>
          </w:tcPr>
          <w:p w:rsidR="00B61F24" w:rsidRPr="00BA7402" w:rsidRDefault="00B61F24" w:rsidP="00B61F24">
            <w:pPr>
              <w:pStyle w:val="Default"/>
              <w:spacing w:line="260" w:lineRule="atLeast"/>
              <w:jc w:val="both"/>
              <w:rPr>
                <w:rFonts w:ascii="Times New Roman" w:hAnsi="Times New Roman" w:cs="Times New Roman"/>
                <w:b/>
                <w:bCs/>
                <w:i/>
                <w:color w:val="auto"/>
                <w:sz w:val="20"/>
                <w:szCs w:val="20"/>
                <w:lang w:val="bg-BG"/>
              </w:rPr>
            </w:pPr>
          </w:p>
        </w:tc>
        <w:tc>
          <w:tcPr>
            <w:tcW w:w="1161" w:type="dxa"/>
            <w:tcBorders>
              <w:top w:val="single" w:sz="4" w:space="0" w:color="auto"/>
              <w:bottom w:val="single" w:sz="4" w:space="0" w:color="auto"/>
            </w:tcBorders>
            <w:shd w:val="clear" w:color="auto" w:fill="F2F2F2"/>
            <w:vAlign w:val="bottom"/>
          </w:tcPr>
          <w:p w:rsidR="00B61F24" w:rsidRPr="00BA7402" w:rsidRDefault="00B61F24" w:rsidP="00B61F24">
            <w:pPr>
              <w:pStyle w:val="Default"/>
              <w:spacing w:line="260" w:lineRule="atLeast"/>
              <w:jc w:val="right"/>
              <w:rPr>
                <w:rFonts w:ascii="Times New Roman" w:hAnsi="Times New Roman" w:cs="Times New Roman"/>
                <w:bCs/>
                <w:color w:val="auto"/>
                <w:sz w:val="20"/>
                <w:szCs w:val="20"/>
                <w:lang w:val="bg-BG"/>
              </w:rPr>
            </w:pPr>
          </w:p>
        </w:tc>
        <w:tc>
          <w:tcPr>
            <w:tcW w:w="1046" w:type="dxa"/>
            <w:tcBorders>
              <w:top w:val="single" w:sz="4" w:space="0" w:color="auto"/>
              <w:bottom w:val="single" w:sz="4" w:space="0" w:color="auto"/>
            </w:tcBorders>
            <w:vAlign w:val="bottom"/>
          </w:tcPr>
          <w:p w:rsidR="00B61F24" w:rsidRPr="00BA7402" w:rsidRDefault="00B61F24" w:rsidP="00B61F24">
            <w:pPr>
              <w:pStyle w:val="Default"/>
              <w:spacing w:line="260" w:lineRule="atLeast"/>
              <w:jc w:val="right"/>
              <w:rPr>
                <w:rFonts w:ascii="Times New Roman" w:hAnsi="Times New Roman" w:cs="Times New Roman"/>
                <w:bCs/>
                <w:color w:val="auto"/>
                <w:sz w:val="20"/>
                <w:szCs w:val="20"/>
                <w:lang w:val="bg-BG"/>
              </w:rPr>
            </w:pPr>
          </w:p>
        </w:tc>
      </w:tr>
      <w:tr w:rsidR="00B61F24" w:rsidRPr="00BA7402" w:rsidTr="00AA4643">
        <w:tc>
          <w:tcPr>
            <w:tcW w:w="5945" w:type="dxa"/>
            <w:vAlign w:val="bottom"/>
          </w:tcPr>
          <w:p w:rsidR="00B61F24" w:rsidRPr="00BA7402" w:rsidRDefault="008823DF" w:rsidP="008823DF">
            <w:pPr>
              <w:pStyle w:val="Style56"/>
              <w:widowControl/>
              <w:spacing w:line="240" w:lineRule="auto"/>
              <w:jc w:val="both"/>
              <w:rPr>
                <w:rStyle w:val="FontStyle156"/>
                <w:rFonts w:ascii="Times New Roman" w:hAnsi="Times New Roman" w:cs="Times New Roman"/>
                <w:sz w:val="20"/>
                <w:szCs w:val="20"/>
                <w:vertAlign w:val="superscript"/>
                <w:lang w:val="bg-BG"/>
              </w:rPr>
            </w:pPr>
            <w:r w:rsidRPr="00BA7402">
              <w:rPr>
                <w:rStyle w:val="FontStyle156"/>
                <w:rFonts w:ascii="Times New Roman" w:hAnsi="Times New Roman" w:cs="Times New Roman"/>
                <w:sz w:val="20"/>
                <w:szCs w:val="20"/>
                <w:lang w:val="bg-BG"/>
              </w:rPr>
              <w:t>Р</w:t>
            </w:r>
            <w:r w:rsidR="00B61F24" w:rsidRPr="00BA7402">
              <w:rPr>
                <w:rStyle w:val="FontStyle156"/>
                <w:rFonts w:ascii="Times New Roman" w:hAnsi="Times New Roman" w:cs="Times New Roman"/>
                <w:sz w:val="20"/>
                <w:szCs w:val="20"/>
                <w:lang w:val="bg-BG"/>
              </w:rPr>
              <w:t xml:space="preserve">азходи </w:t>
            </w:r>
            <w:r w:rsidRPr="00BA7402">
              <w:rPr>
                <w:rStyle w:val="FontStyle156"/>
                <w:rFonts w:ascii="Times New Roman" w:hAnsi="Times New Roman" w:cs="Times New Roman"/>
                <w:sz w:val="20"/>
                <w:szCs w:val="20"/>
                <w:lang w:val="bg-BG"/>
              </w:rPr>
              <w:t>за лихви, в т.ч.:</w:t>
            </w:r>
          </w:p>
        </w:tc>
        <w:tc>
          <w:tcPr>
            <w:tcW w:w="627" w:type="dxa"/>
            <w:vAlign w:val="bottom"/>
          </w:tcPr>
          <w:p w:rsidR="00B61F24" w:rsidRPr="00BA7402" w:rsidRDefault="00B61F24" w:rsidP="00B61F24">
            <w:pPr>
              <w:pStyle w:val="Default"/>
              <w:spacing w:line="260" w:lineRule="atLeast"/>
              <w:jc w:val="both"/>
              <w:rPr>
                <w:rFonts w:ascii="Times New Roman" w:hAnsi="Times New Roman" w:cs="Times New Roman"/>
                <w:b/>
                <w:bCs/>
                <w:i/>
                <w:color w:val="auto"/>
                <w:sz w:val="20"/>
                <w:szCs w:val="20"/>
                <w:lang w:val="bg-BG"/>
              </w:rPr>
            </w:pPr>
          </w:p>
        </w:tc>
        <w:tc>
          <w:tcPr>
            <w:tcW w:w="1161" w:type="dxa"/>
            <w:tcBorders>
              <w:top w:val="single" w:sz="4" w:space="0" w:color="auto"/>
              <w:bottom w:val="single" w:sz="12" w:space="0" w:color="auto"/>
            </w:tcBorders>
            <w:shd w:val="clear" w:color="auto" w:fill="F2F2F2"/>
            <w:vAlign w:val="bottom"/>
          </w:tcPr>
          <w:p w:rsidR="00B61F24" w:rsidRPr="00BA7402" w:rsidRDefault="00B61F24" w:rsidP="008823DF">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r w:rsidR="008823DF" w:rsidRPr="00BA7402">
              <w:rPr>
                <w:rFonts w:ascii="Times New Roman" w:hAnsi="Times New Roman" w:cs="Times New Roman"/>
                <w:bCs/>
                <w:color w:val="auto"/>
                <w:sz w:val="20"/>
                <w:szCs w:val="20"/>
                <w:lang w:val="bg-BG"/>
              </w:rPr>
              <w:t>14</w:t>
            </w:r>
            <w:r w:rsidRPr="00BA7402">
              <w:rPr>
                <w:rFonts w:ascii="Times New Roman" w:hAnsi="Times New Roman" w:cs="Times New Roman"/>
                <w:bCs/>
                <w:color w:val="auto"/>
                <w:sz w:val="20"/>
                <w:szCs w:val="20"/>
                <w:lang w:val="bg-BG"/>
              </w:rPr>
              <w:t>)</w:t>
            </w:r>
          </w:p>
        </w:tc>
        <w:tc>
          <w:tcPr>
            <w:tcW w:w="1046" w:type="dxa"/>
            <w:tcBorders>
              <w:top w:val="single" w:sz="4" w:space="0" w:color="auto"/>
              <w:bottom w:val="single" w:sz="12" w:space="0" w:color="auto"/>
            </w:tcBorders>
            <w:vAlign w:val="bottom"/>
          </w:tcPr>
          <w:p w:rsidR="00B61F24" w:rsidRPr="00BA7402" w:rsidRDefault="00B61F24" w:rsidP="008823DF">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r w:rsidR="008823DF" w:rsidRPr="00BA7402">
              <w:rPr>
                <w:rFonts w:ascii="Times New Roman" w:hAnsi="Times New Roman" w:cs="Times New Roman"/>
                <w:bCs/>
                <w:color w:val="auto"/>
                <w:sz w:val="20"/>
                <w:szCs w:val="20"/>
                <w:lang w:val="bg-BG"/>
              </w:rPr>
              <w:t>8</w:t>
            </w:r>
            <w:r w:rsidRPr="00BA7402">
              <w:rPr>
                <w:rFonts w:ascii="Times New Roman" w:hAnsi="Times New Roman" w:cs="Times New Roman"/>
                <w:bCs/>
                <w:color w:val="auto"/>
                <w:sz w:val="20"/>
                <w:szCs w:val="20"/>
                <w:lang w:val="bg-BG"/>
              </w:rPr>
              <w:t>)</w:t>
            </w:r>
          </w:p>
        </w:tc>
      </w:tr>
      <w:tr w:rsidR="008823DF" w:rsidRPr="00BA7402" w:rsidTr="00AA4643">
        <w:tc>
          <w:tcPr>
            <w:tcW w:w="5945" w:type="dxa"/>
            <w:vAlign w:val="bottom"/>
          </w:tcPr>
          <w:p w:rsidR="008823DF" w:rsidRPr="00BA7402" w:rsidRDefault="008823DF" w:rsidP="008823DF">
            <w:pPr>
              <w:pStyle w:val="Style56"/>
              <w:widowControl/>
              <w:spacing w:line="240" w:lineRule="auto"/>
              <w:jc w:val="both"/>
              <w:rPr>
                <w:rStyle w:val="FontStyle156"/>
                <w:rFonts w:ascii="Times New Roman" w:hAnsi="Times New Roman" w:cs="Times New Roman"/>
                <w:i/>
                <w:sz w:val="20"/>
                <w:szCs w:val="20"/>
                <w:lang w:val="bg-BG"/>
              </w:rPr>
            </w:pPr>
            <w:r w:rsidRPr="00BA7402">
              <w:rPr>
                <w:rStyle w:val="FontStyle156"/>
                <w:rFonts w:ascii="Times New Roman" w:hAnsi="Times New Roman" w:cs="Times New Roman"/>
                <w:i/>
                <w:sz w:val="20"/>
                <w:szCs w:val="20"/>
                <w:lang w:val="bg-BG"/>
              </w:rPr>
              <w:t>-по заеми</w:t>
            </w:r>
          </w:p>
        </w:tc>
        <w:tc>
          <w:tcPr>
            <w:tcW w:w="627" w:type="dxa"/>
            <w:vAlign w:val="bottom"/>
          </w:tcPr>
          <w:p w:rsidR="008823DF" w:rsidRPr="00BA7402" w:rsidRDefault="008823DF" w:rsidP="00B61F24">
            <w:pPr>
              <w:pStyle w:val="Default"/>
              <w:spacing w:line="260" w:lineRule="atLeast"/>
              <w:jc w:val="both"/>
              <w:rPr>
                <w:rFonts w:ascii="Times New Roman" w:hAnsi="Times New Roman" w:cs="Times New Roman"/>
                <w:b/>
                <w:bCs/>
                <w:i/>
                <w:color w:val="auto"/>
                <w:sz w:val="20"/>
                <w:szCs w:val="20"/>
                <w:lang w:val="bg-BG"/>
              </w:rPr>
            </w:pPr>
          </w:p>
        </w:tc>
        <w:tc>
          <w:tcPr>
            <w:tcW w:w="1161" w:type="dxa"/>
            <w:tcBorders>
              <w:top w:val="single" w:sz="4" w:space="0" w:color="auto"/>
              <w:bottom w:val="single" w:sz="12" w:space="0" w:color="auto"/>
            </w:tcBorders>
            <w:shd w:val="clear" w:color="auto" w:fill="F2F2F2"/>
            <w:vAlign w:val="bottom"/>
          </w:tcPr>
          <w:p w:rsidR="008823DF" w:rsidRPr="00BA7402" w:rsidRDefault="008823DF" w:rsidP="00B61F24">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rPr>
              <w:t>(8)</w:t>
            </w:r>
          </w:p>
        </w:tc>
        <w:tc>
          <w:tcPr>
            <w:tcW w:w="1046" w:type="dxa"/>
            <w:tcBorders>
              <w:top w:val="single" w:sz="4" w:space="0" w:color="auto"/>
              <w:bottom w:val="single" w:sz="12" w:space="0" w:color="auto"/>
            </w:tcBorders>
            <w:vAlign w:val="bottom"/>
          </w:tcPr>
          <w:p w:rsidR="008823DF" w:rsidRPr="00BA7402" w:rsidRDefault="008823DF" w:rsidP="00B61F24">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rPr>
              <w:t>(8)</w:t>
            </w:r>
          </w:p>
        </w:tc>
      </w:tr>
      <w:tr w:rsidR="008823DF" w:rsidRPr="00BA7402" w:rsidTr="00AA4643">
        <w:tc>
          <w:tcPr>
            <w:tcW w:w="5945" w:type="dxa"/>
            <w:vAlign w:val="bottom"/>
          </w:tcPr>
          <w:p w:rsidR="008823DF" w:rsidRPr="00BA7402" w:rsidRDefault="008823DF" w:rsidP="008823DF">
            <w:pPr>
              <w:pStyle w:val="Style56"/>
              <w:widowControl/>
              <w:spacing w:line="240" w:lineRule="auto"/>
              <w:jc w:val="both"/>
              <w:rPr>
                <w:rStyle w:val="FontStyle156"/>
                <w:rFonts w:ascii="Times New Roman" w:hAnsi="Times New Roman" w:cs="Times New Roman"/>
                <w:i/>
                <w:sz w:val="20"/>
                <w:szCs w:val="20"/>
                <w:lang w:val="bg-BG"/>
              </w:rPr>
            </w:pPr>
            <w:r w:rsidRPr="00BA7402">
              <w:rPr>
                <w:rStyle w:val="FontStyle156"/>
                <w:rFonts w:ascii="Times New Roman" w:hAnsi="Times New Roman" w:cs="Times New Roman"/>
                <w:i/>
                <w:sz w:val="20"/>
                <w:szCs w:val="20"/>
                <w:lang w:val="bg-BG"/>
              </w:rPr>
              <w:t>-за забавени плащания</w:t>
            </w:r>
          </w:p>
        </w:tc>
        <w:tc>
          <w:tcPr>
            <w:tcW w:w="627" w:type="dxa"/>
            <w:vAlign w:val="bottom"/>
          </w:tcPr>
          <w:p w:rsidR="008823DF" w:rsidRPr="00BA7402" w:rsidRDefault="008823DF" w:rsidP="00B61F24">
            <w:pPr>
              <w:pStyle w:val="Default"/>
              <w:spacing w:line="260" w:lineRule="atLeast"/>
              <w:jc w:val="both"/>
              <w:rPr>
                <w:rFonts w:ascii="Times New Roman" w:hAnsi="Times New Roman" w:cs="Times New Roman"/>
                <w:b/>
                <w:bCs/>
                <w:i/>
                <w:color w:val="auto"/>
                <w:sz w:val="20"/>
                <w:szCs w:val="20"/>
                <w:lang w:val="bg-BG"/>
              </w:rPr>
            </w:pPr>
          </w:p>
        </w:tc>
        <w:tc>
          <w:tcPr>
            <w:tcW w:w="1161" w:type="dxa"/>
            <w:tcBorders>
              <w:top w:val="single" w:sz="4" w:space="0" w:color="auto"/>
              <w:bottom w:val="single" w:sz="12" w:space="0" w:color="auto"/>
            </w:tcBorders>
            <w:shd w:val="clear" w:color="auto" w:fill="F2F2F2"/>
            <w:vAlign w:val="bottom"/>
          </w:tcPr>
          <w:p w:rsidR="008823DF" w:rsidRPr="00BA7402" w:rsidRDefault="008823DF" w:rsidP="00B61F24">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rPr>
              <w:t>(6)</w:t>
            </w:r>
          </w:p>
        </w:tc>
        <w:tc>
          <w:tcPr>
            <w:tcW w:w="1046" w:type="dxa"/>
            <w:tcBorders>
              <w:top w:val="single" w:sz="4" w:space="0" w:color="auto"/>
              <w:bottom w:val="single" w:sz="12" w:space="0" w:color="auto"/>
            </w:tcBorders>
            <w:vAlign w:val="bottom"/>
          </w:tcPr>
          <w:p w:rsidR="008823DF" w:rsidRPr="00BA7402" w:rsidRDefault="00A85E70" w:rsidP="00B61F24">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p>
        </w:tc>
      </w:tr>
      <w:tr w:rsidR="008823DF" w:rsidRPr="00BA7402" w:rsidTr="00AA4643">
        <w:tc>
          <w:tcPr>
            <w:tcW w:w="5945" w:type="dxa"/>
            <w:vAlign w:val="bottom"/>
          </w:tcPr>
          <w:p w:rsidR="008823DF" w:rsidRPr="00BA7402" w:rsidRDefault="008823DF" w:rsidP="00B61F24">
            <w:pPr>
              <w:pStyle w:val="Style56"/>
              <w:widowControl/>
              <w:spacing w:line="240" w:lineRule="auto"/>
              <w:jc w:val="both"/>
              <w:rPr>
                <w:rStyle w:val="FontStyle156"/>
                <w:rFonts w:ascii="Times New Roman" w:hAnsi="Times New Roman" w:cs="Times New Roman"/>
                <w:b/>
                <w:sz w:val="20"/>
                <w:szCs w:val="20"/>
                <w:lang w:val="bg-BG"/>
              </w:rPr>
            </w:pPr>
            <w:r w:rsidRPr="00BA7402">
              <w:rPr>
                <w:rStyle w:val="FontStyle156"/>
                <w:rFonts w:ascii="Times New Roman" w:hAnsi="Times New Roman" w:cs="Times New Roman"/>
                <w:b/>
                <w:sz w:val="20"/>
                <w:szCs w:val="20"/>
              </w:rPr>
              <w:t>Н</w:t>
            </w:r>
            <w:r w:rsidRPr="00BA7402">
              <w:rPr>
                <w:rStyle w:val="FontStyle156"/>
                <w:rFonts w:ascii="Times New Roman" w:hAnsi="Times New Roman" w:cs="Times New Roman"/>
                <w:b/>
                <w:sz w:val="20"/>
                <w:szCs w:val="20"/>
                <w:lang w:val="bg-BG"/>
              </w:rPr>
              <w:t>етни финансови разходи, признати в печалби и загуби</w:t>
            </w:r>
          </w:p>
        </w:tc>
        <w:tc>
          <w:tcPr>
            <w:tcW w:w="627" w:type="dxa"/>
            <w:vAlign w:val="bottom"/>
          </w:tcPr>
          <w:p w:rsidR="008823DF" w:rsidRPr="00BA7402" w:rsidRDefault="008823DF" w:rsidP="00B61F24">
            <w:pPr>
              <w:pStyle w:val="Default"/>
              <w:spacing w:line="260" w:lineRule="atLeast"/>
              <w:jc w:val="both"/>
              <w:rPr>
                <w:rFonts w:ascii="Times New Roman" w:hAnsi="Times New Roman" w:cs="Times New Roman"/>
                <w:b/>
                <w:bCs/>
                <w:i/>
                <w:color w:val="auto"/>
                <w:sz w:val="20"/>
                <w:szCs w:val="20"/>
                <w:lang w:val="bg-BG"/>
              </w:rPr>
            </w:pPr>
          </w:p>
        </w:tc>
        <w:tc>
          <w:tcPr>
            <w:tcW w:w="1161" w:type="dxa"/>
            <w:tcBorders>
              <w:top w:val="single" w:sz="4" w:space="0" w:color="auto"/>
              <w:bottom w:val="single" w:sz="12" w:space="0" w:color="auto"/>
            </w:tcBorders>
            <w:shd w:val="clear" w:color="auto" w:fill="F2F2F2"/>
            <w:vAlign w:val="bottom"/>
          </w:tcPr>
          <w:p w:rsidR="008823DF" w:rsidRPr="00BA7402" w:rsidRDefault="008823DF" w:rsidP="00B61F24">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lang w:val="bg-BG"/>
              </w:rPr>
              <w:t>(14)</w:t>
            </w:r>
          </w:p>
        </w:tc>
        <w:tc>
          <w:tcPr>
            <w:tcW w:w="1046" w:type="dxa"/>
            <w:tcBorders>
              <w:top w:val="single" w:sz="4" w:space="0" w:color="auto"/>
              <w:bottom w:val="single" w:sz="12" w:space="0" w:color="auto"/>
            </w:tcBorders>
            <w:vAlign w:val="bottom"/>
          </w:tcPr>
          <w:p w:rsidR="008823DF" w:rsidRPr="00BA7402" w:rsidRDefault="008823DF" w:rsidP="00B61F24">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rPr>
              <w:t>(8)</w:t>
            </w:r>
          </w:p>
        </w:tc>
      </w:tr>
      <w:tr w:rsidR="00B61F24" w:rsidRPr="00BA7402" w:rsidTr="00AA4643">
        <w:tc>
          <w:tcPr>
            <w:tcW w:w="5945" w:type="dxa"/>
          </w:tcPr>
          <w:p w:rsidR="00B61F24" w:rsidRPr="00BA7402" w:rsidRDefault="00B61F24" w:rsidP="00B61F24">
            <w:pPr>
              <w:pStyle w:val="Default"/>
              <w:spacing w:line="260" w:lineRule="atLeast"/>
              <w:jc w:val="both"/>
              <w:rPr>
                <w:rFonts w:ascii="Times New Roman" w:hAnsi="Times New Roman" w:cs="Times New Roman"/>
                <w:bCs/>
                <w:color w:val="auto"/>
                <w:sz w:val="20"/>
                <w:szCs w:val="20"/>
                <w:lang w:val="bg-BG"/>
              </w:rPr>
            </w:pPr>
          </w:p>
        </w:tc>
        <w:tc>
          <w:tcPr>
            <w:tcW w:w="627" w:type="dxa"/>
            <w:vAlign w:val="bottom"/>
          </w:tcPr>
          <w:p w:rsidR="00B61F24" w:rsidRPr="00BA7402" w:rsidRDefault="00B61F24" w:rsidP="00B61F24">
            <w:pPr>
              <w:pStyle w:val="Default"/>
              <w:spacing w:line="260" w:lineRule="atLeast"/>
              <w:jc w:val="both"/>
              <w:rPr>
                <w:rFonts w:ascii="Times New Roman" w:hAnsi="Times New Roman" w:cs="Times New Roman"/>
                <w:bCs/>
                <w:i/>
                <w:color w:val="auto"/>
                <w:sz w:val="20"/>
                <w:szCs w:val="20"/>
                <w:lang w:val="bg-BG"/>
              </w:rPr>
            </w:pPr>
          </w:p>
        </w:tc>
        <w:tc>
          <w:tcPr>
            <w:tcW w:w="1161" w:type="dxa"/>
            <w:tcBorders>
              <w:top w:val="single" w:sz="12" w:space="0" w:color="auto"/>
            </w:tcBorders>
            <w:shd w:val="clear" w:color="auto" w:fill="F2F2F2"/>
            <w:vAlign w:val="bottom"/>
          </w:tcPr>
          <w:p w:rsidR="00B61F24" w:rsidRPr="00BA7402" w:rsidRDefault="00B61F24" w:rsidP="00B61F24">
            <w:pPr>
              <w:pStyle w:val="Default"/>
              <w:spacing w:line="260" w:lineRule="atLeast"/>
              <w:jc w:val="right"/>
              <w:rPr>
                <w:rFonts w:ascii="Times New Roman" w:hAnsi="Times New Roman" w:cs="Times New Roman"/>
                <w:bCs/>
                <w:color w:val="auto"/>
                <w:sz w:val="20"/>
                <w:szCs w:val="20"/>
                <w:lang w:val="bg-BG"/>
              </w:rPr>
            </w:pPr>
          </w:p>
        </w:tc>
        <w:tc>
          <w:tcPr>
            <w:tcW w:w="1046" w:type="dxa"/>
            <w:tcBorders>
              <w:top w:val="single" w:sz="12" w:space="0" w:color="auto"/>
            </w:tcBorders>
            <w:vAlign w:val="bottom"/>
          </w:tcPr>
          <w:p w:rsidR="00B61F24" w:rsidRPr="00BA7402" w:rsidRDefault="00B61F24" w:rsidP="00B61F24">
            <w:pPr>
              <w:pStyle w:val="Default"/>
              <w:spacing w:line="260" w:lineRule="atLeast"/>
              <w:jc w:val="right"/>
              <w:rPr>
                <w:rFonts w:ascii="Times New Roman" w:hAnsi="Times New Roman" w:cs="Times New Roman"/>
                <w:bCs/>
                <w:color w:val="auto"/>
                <w:sz w:val="20"/>
                <w:szCs w:val="20"/>
                <w:lang w:val="bg-BG"/>
              </w:rPr>
            </w:pPr>
          </w:p>
        </w:tc>
      </w:tr>
    </w:tbl>
    <w:p w:rsidR="008E0881" w:rsidRPr="00BA7402" w:rsidRDefault="006C6E65" w:rsidP="006C6E65">
      <w:pPr>
        <w:pStyle w:val="Heading2"/>
        <w:spacing w:before="0" w:after="120" w:line="260" w:lineRule="atLeast"/>
        <w:rPr>
          <w:rFonts w:ascii="Times New Roman" w:hAnsi="Times New Roman"/>
          <w:color w:val="auto"/>
          <w:sz w:val="20"/>
          <w:szCs w:val="20"/>
          <w:lang w:val="bg-BG"/>
        </w:rPr>
      </w:pPr>
      <w:bookmarkStart w:id="15" w:name="_Toc515965327"/>
      <w:r>
        <w:rPr>
          <w:rFonts w:ascii="Times New Roman" w:hAnsi="Times New Roman"/>
          <w:color w:val="auto"/>
          <w:sz w:val="20"/>
          <w:szCs w:val="20"/>
          <w:lang w:val="bg-BG"/>
        </w:rPr>
        <w:t>7.</w:t>
      </w:r>
      <w:r w:rsidR="008E0881" w:rsidRPr="00BA7402">
        <w:rPr>
          <w:rFonts w:ascii="Times New Roman" w:hAnsi="Times New Roman"/>
          <w:color w:val="auto"/>
          <w:sz w:val="20"/>
          <w:szCs w:val="20"/>
          <w:lang w:val="bg-BG"/>
        </w:rPr>
        <w:t>Търговски и други вземания</w:t>
      </w:r>
      <w:bookmarkEnd w:id="15"/>
    </w:p>
    <w:tbl>
      <w:tblPr>
        <w:tblW w:w="0" w:type="auto"/>
        <w:tblLook w:val="04A0" w:firstRow="1" w:lastRow="0" w:firstColumn="1" w:lastColumn="0" w:noHBand="0" w:noVBand="1"/>
      </w:tblPr>
      <w:tblGrid>
        <w:gridCol w:w="5229"/>
        <w:gridCol w:w="898"/>
        <w:gridCol w:w="1330"/>
        <w:gridCol w:w="1331"/>
      </w:tblGrid>
      <w:tr w:rsidR="008E0881" w:rsidRPr="00BA7402" w:rsidTr="00975B28">
        <w:tc>
          <w:tcPr>
            <w:tcW w:w="5229" w:type="dxa"/>
          </w:tcPr>
          <w:p w:rsidR="008E0881" w:rsidRPr="00BA7402" w:rsidRDefault="008E0881" w:rsidP="00975B28">
            <w:pPr>
              <w:pStyle w:val="Default"/>
              <w:spacing w:line="260" w:lineRule="atLeast"/>
              <w:jc w:val="both"/>
              <w:rPr>
                <w:rFonts w:ascii="Times New Roman" w:hAnsi="Times New Roman" w:cs="Times New Roman"/>
                <w:bCs/>
                <w:i/>
                <w:color w:val="auto"/>
                <w:sz w:val="20"/>
                <w:szCs w:val="20"/>
                <w:lang w:val="bg-BG"/>
              </w:rPr>
            </w:pPr>
            <w:r w:rsidRPr="00BA7402">
              <w:rPr>
                <w:rFonts w:ascii="Times New Roman" w:hAnsi="Times New Roman" w:cs="Times New Roman"/>
                <w:bCs/>
                <w:i/>
                <w:color w:val="auto"/>
                <w:sz w:val="20"/>
                <w:szCs w:val="20"/>
                <w:lang w:val="bg-BG"/>
              </w:rPr>
              <w:t>В хиляди лева</w:t>
            </w:r>
          </w:p>
        </w:tc>
        <w:tc>
          <w:tcPr>
            <w:tcW w:w="898" w:type="dxa"/>
          </w:tcPr>
          <w:p w:rsidR="008E0881" w:rsidRPr="00BA7402" w:rsidRDefault="008E0881" w:rsidP="00975B28">
            <w:pPr>
              <w:pStyle w:val="Default"/>
              <w:spacing w:line="260" w:lineRule="atLeast"/>
              <w:jc w:val="center"/>
              <w:rPr>
                <w:rFonts w:ascii="Times New Roman" w:hAnsi="Times New Roman" w:cs="Times New Roman"/>
                <w:b/>
                <w:bCs/>
                <w:i/>
                <w:color w:val="auto"/>
                <w:sz w:val="20"/>
                <w:szCs w:val="20"/>
                <w:lang w:val="bg-BG"/>
              </w:rPr>
            </w:pPr>
            <w:r w:rsidRPr="00BA7402">
              <w:rPr>
                <w:rFonts w:ascii="Times New Roman" w:hAnsi="Times New Roman" w:cs="Times New Roman"/>
                <w:b/>
                <w:bCs/>
                <w:i/>
                <w:color w:val="auto"/>
                <w:sz w:val="20"/>
                <w:szCs w:val="20"/>
                <w:lang w:val="bg-BG"/>
              </w:rPr>
              <w:t>Бел.</w:t>
            </w:r>
          </w:p>
        </w:tc>
        <w:tc>
          <w:tcPr>
            <w:tcW w:w="1330" w:type="dxa"/>
            <w:shd w:val="clear" w:color="auto" w:fill="F2F2F2"/>
          </w:tcPr>
          <w:p w:rsidR="008E0881" w:rsidRPr="00BA7402" w:rsidRDefault="008E0881" w:rsidP="00A85E70">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lang w:val="bg-BG"/>
              </w:rPr>
              <w:t>201</w:t>
            </w:r>
            <w:r w:rsidR="00A85E70" w:rsidRPr="00BA7402">
              <w:rPr>
                <w:rFonts w:ascii="Times New Roman" w:hAnsi="Times New Roman" w:cs="Times New Roman"/>
                <w:b/>
                <w:bCs/>
                <w:color w:val="auto"/>
                <w:sz w:val="20"/>
                <w:szCs w:val="20"/>
                <w:lang w:val="bg-BG"/>
              </w:rPr>
              <w:t>9</w:t>
            </w:r>
          </w:p>
        </w:tc>
        <w:tc>
          <w:tcPr>
            <w:tcW w:w="1331" w:type="dxa"/>
          </w:tcPr>
          <w:p w:rsidR="008E0881" w:rsidRPr="00BA7402" w:rsidRDefault="008E0881" w:rsidP="00A85E70">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rPr>
              <w:t>201</w:t>
            </w:r>
            <w:r w:rsidR="00A85E70" w:rsidRPr="00BA7402">
              <w:rPr>
                <w:rFonts w:ascii="Times New Roman" w:hAnsi="Times New Roman" w:cs="Times New Roman"/>
                <w:b/>
                <w:bCs/>
                <w:color w:val="auto"/>
                <w:sz w:val="20"/>
                <w:szCs w:val="20"/>
                <w:lang w:val="bg-BG"/>
              </w:rPr>
              <w:t>8</w:t>
            </w:r>
          </w:p>
        </w:tc>
      </w:tr>
      <w:tr w:rsidR="008E0881" w:rsidRPr="00BA7402" w:rsidTr="00975B28">
        <w:tc>
          <w:tcPr>
            <w:tcW w:w="5229" w:type="dxa"/>
          </w:tcPr>
          <w:p w:rsidR="008E0881" w:rsidRPr="00BA7402" w:rsidRDefault="008E0881" w:rsidP="00975B28">
            <w:pPr>
              <w:pStyle w:val="Default"/>
              <w:spacing w:line="260" w:lineRule="atLeast"/>
              <w:jc w:val="both"/>
              <w:rPr>
                <w:rFonts w:ascii="Times New Roman" w:hAnsi="Times New Roman" w:cs="Times New Roman"/>
                <w:bCs/>
                <w:color w:val="auto"/>
                <w:sz w:val="20"/>
                <w:szCs w:val="20"/>
                <w:lang w:val="bg-BG"/>
              </w:rPr>
            </w:pPr>
          </w:p>
        </w:tc>
        <w:tc>
          <w:tcPr>
            <w:tcW w:w="898" w:type="dxa"/>
          </w:tcPr>
          <w:p w:rsidR="008E0881" w:rsidRPr="00BA7402" w:rsidRDefault="008E0881" w:rsidP="00975B28">
            <w:pPr>
              <w:pStyle w:val="Default"/>
              <w:spacing w:line="260" w:lineRule="atLeast"/>
              <w:jc w:val="center"/>
              <w:rPr>
                <w:rFonts w:ascii="Times New Roman" w:hAnsi="Times New Roman" w:cs="Times New Roman"/>
                <w:bCs/>
                <w:i/>
                <w:color w:val="auto"/>
                <w:sz w:val="20"/>
                <w:szCs w:val="20"/>
                <w:lang w:val="bg-BG"/>
              </w:rPr>
            </w:pPr>
          </w:p>
        </w:tc>
        <w:tc>
          <w:tcPr>
            <w:tcW w:w="1330" w:type="dxa"/>
            <w:shd w:val="clear" w:color="auto" w:fill="F2F2F2"/>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c>
          <w:tcPr>
            <w:tcW w:w="1331" w:type="dxa"/>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r>
      <w:tr w:rsidR="008E0881" w:rsidRPr="00BA7402" w:rsidTr="00975B28">
        <w:tc>
          <w:tcPr>
            <w:tcW w:w="5229" w:type="dxa"/>
          </w:tcPr>
          <w:p w:rsidR="008E0881" w:rsidRPr="00BA7402" w:rsidRDefault="008E0881" w:rsidP="006047BA">
            <w:pPr>
              <w:pStyle w:val="Style56"/>
              <w:widowControl/>
              <w:spacing w:line="240" w:lineRule="auto"/>
              <w:jc w:val="both"/>
              <w:rPr>
                <w:rStyle w:val="FontStyle156"/>
                <w:rFonts w:ascii="Times New Roman" w:hAnsi="Times New Roman" w:cs="Times New Roman"/>
                <w:sz w:val="20"/>
                <w:szCs w:val="20"/>
                <w:lang w:val="bg-BG"/>
              </w:rPr>
            </w:pPr>
            <w:r w:rsidRPr="00BA7402">
              <w:rPr>
                <w:rStyle w:val="FontStyle156"/>
                <w:rFonts w:ascii="Times New Roman" w:hAnsi="Times New Roman" w:cs="Times New Roman"/>
                <w:sz w:val="20"/>
                <w:szCs w:val="20"/>
                <w:lang w:val="bg-BG"/>
              </w:rPr>
              <w:t xml:space="preserve">Вземания </w:t>
            </w:r>
            <w:r w:rsidR="006047BA" w:rsidRPr="00BA7402">
              <w:rPr>
                <w:rStyle w:val="FontStyle156"/>
                <w:rFonts w:ascii="Times New Roman" w:hAnsi="Times New Roman" w:cs="Times New Roman"/>
                <w:sz w:val="20"/>
                <w:szCs w:val="20"/>
                <w:lang w:val="bg-BG"/>
              </w:rPr>
              <w:t>п</w:t>
            </w:r>
            <w:r w:rsidRPr="00BA7402">
              <w:rPr>
                <w:rStyle w:val="FontStyle156"/>
                <w:rFonts w:ascii="Times New Roman" w:hAnsi="Times New Roman" w:cs="Times New Roman"/>
                <w:sz w:val="20"/>
                <w:szCs w:val="20"/>
                <w:lang w:val="bg-BG"/>
              </w:rPr>
              <w:t>о с</w:t>
            </w:r>
            <w:r w:rsidR="006047BA" w:rsidRPr="00BA7402">
              <w:rPr>
                <w:rStyle w:val="FontStyle156"/>
                <w:rFonts w:ascii="Times New Roman" w:hAnsi="Times New Roman" w:cs="Times New Roman"/>
                <w:sz w:val="20"/>
                <w:szCs w:val="20"/>
                <w:lang w:val="bg-BG"/>
              </w:rPr>
              <w:t>ъдебни дела</w:t>
            </w:r>
          </w:p>
        </w:tc>
        <w:tc>
          <w:tcPr>
            <w:tcW w:w="898" w:type="dxa"/>
          </w:tcPr>
          <w:p w:rsidR="008E0881" w:rsidRPr="00BA7402" w:rsidRDefault="008E0881" w:rsidP="00975B28">
            <w:pPr>
              <w:pStyle w:val="Default"/>
              <w:spacing w:line="260" w:lineRule="atLeast"/>
              <w:jc w:val="center"/>
              <w:rPr>
                <w:rFonts w:ascii="Times New Roman" w:hAnsi="Times New Roman" w:cs="Times New Roman"/>
                <w:bCs/>
                <w:i/>
                <w:color w:val="auto"/>
                <w:sz w:val="20"/>
                <w:szCs w:val="20"/>
                <w:lang w:val="bg-BG"/>
              </w:rPr>
            </w:pPr>
          </w:p>
        </w:tc>
        <w:tc>
          <w:tcPr>
            <w:tcW w:w="1330" w:type="dxa"/>
            <w:shd w:val="clear" w:color="auto" w:fill="F2F2F2"/>
          </w:tcPr>
          <w:p w:rsidR="008E0881" w:rsidRPr="00BA7402" w:rsidRDefault="006047BA" w:rsidP="006047BA">
            <w:pPr>
              <w:pStyle w:val="Default"/>
              <w:spacing w:line="260" w:lineRule="atLeast"/>
              <w:jc w:val="right"/>
              <w:rPr>
                <w:rFonts w:ascii="Times New Roman" w:hAnsi="Times New Roman" w:cs="Times New Roman"/>
                <w:bCs/>
                <w:color w:val="auto"/>
                <w:sz w:val="20"/>
                <w:szCs w:val="20"/>
              </w:rPr>
            </w:pPr>
            <w:r w:rsidRPr="00BA7402">
              <w:rPr>
                <w:rFonts w:ascii="Times New Roman" w:hAnsi="Times New Roman" w:cs="Times New Roman"/>
                <w:bCs/>
                <w:color w:val="auto"/>
                <w:sz w:val="20"/>
                <w:szCs w:val="20"/>
                <w:lang w:val="bg-BG"/>
              </w:rPr>
              <w:t>40</w:t>
            </w:r>
            <w:r w:rsidR="008E0881" w:rsidRPr="00BA7402">
              <w:rPr>
                <w:rFonts w:ascii="Times New Roman" w:hAnsi="Times New Roman" w:cs="Times New Roman"/>
                <w:bCs/>
                <w:color w:val="auto"/>
                <w:sz w:val="20"/>
                <w:szCs w:val="20"/>
              </w:rPr>
              <w:t>5</w:t>
            </w:r>
          </w:p>
        </w:tc>
        <w:tc>
          <w:tcPr>
            <w:tcW w:w="1331" w:type="dxa"/>
          </w:tcPr>
          <w:p w:rsidR="008E0881" w:rsidRPr="00BA7402" w:rsidRDefault="006047BA"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40</w:t>
            </w:r>
            <w:r w:rsidR="008E0881" w:rsidRPr="00BA7402">
              <w:rPr>
                <w:rFonts w:ascii="Times New Roman" w:hAnsi="Times New Roman" w:cs="Times New Roman"/>
                <w:bCs/>
                <w:color w:val="auto"/>
                <w:sz w:val="20"/>
                <w:szCs w:val="20"/>
                <w:lang w:val="bg-BG"/>
              </w:rPr>
              <w:t>5</w:t>
            </w:r>
          </w:p>
        </w:tc>
      </w:tr>
      <w:tr w:rsidR="008E0881" w:rsidRPr="00BA7402" w:rsidTr="00975B28">
        <w:tc>
          <w:tcPr>
            <w:tcW w:w="5229" w:type="dxa"/>
          </w:tcPr>
          <w:p w:rsidR="008E0881" w:rsidRPr="00BA7402" w:rsidRDefault="008E0881" w:rsidP="00975B28">
            <w:pPr>
              <w:pStyle w:val="Style56"/>
              <w:widowControl/>
              <w:spacing w:line="240" w:lineRule="auto"/>
              <w:jc w:val="both"/>
              <w:rPr>
                <w:rStyle w:val="FontStyle156"/>
                <w:rFonts w:ascii="Times New Roman" w:hAnsi="Times New Roman" w:cs="Times New Roman"/>
                <w:sz w:val="20"/>
                <w:szCs w:val="20"/>
                <w:lang w:val="bg-BG"/>
              </w:rPr>
            </w:pPr>
          </w:p>
        </w:tc>
        <w:tc>
          <w:tcPr>
            <w:tcW w:w="898" w:type="dxa"/>
          </w:tcPr>
          <w:p w:rsidR="008E0881" w:rsidRPr="00BA7402" w:rsidRDefault="008E0881" w:rsidP="00975B28">
            <w:pPr>
              <w:pStyle w:val="Default"/>
              <w:spacing w:line="260" w:lineRule="atLeast"/>
              <w:jc w:val="center"/>
              <w:rPr>
                <w:rFonts w:ascii="Times New Roman" w:hAnsi="Times New Roman" w:cs="Times New Roman"/>
                <w:bCs/>
                <w:i/>
                <w:color w:val="auto"/>
                <w:sz w:val="20"/>
                <w:szCs w:val="20"/>
                <w:lang w:val="bg-BG"/>
              </w:rPr>
            </w:pPr>
          </w:p>
        </w:tc>
        <w:tc>
          <w:tcPr>
            <w:tcW w:w="1330" w:type="dxa"/>
            <w:tcBorders>
              <w:bottom w:val="single" w:sz="4" w:space="0" w:color="auto"/>
            </w:tcBorders>
            <w:shd w:val="clear" w:color="auto" w:fill="F2F2F2"/>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c>
          <w:tcPr>
            <w:tcW w:w="1331" w:type="dxa"/>
            <w:tcBorders>
              <w:bottom w:val="single" w:sz="4" w:space="0" w:color="auto"/>
            </w:tcBorders>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r>
      <w:tr w:rsidR="008E0881" w:rsidRPr="00BA7402" w:rsidTr="00975B28">
        <w:tc>
          <w:tcPr>
            <w:tcW w:w="5229" w:type="dxa"/>
          </w:tcPr>
          <w:p w:rsidR="008E0881" w:rsidRPr="00BA7402" w:rsidRDefault="008E0881" w:rsidP="00975B28">
            <w:pPr>
              <w:pStyle w:val="Default"/>
              <w:spacing w:line="260" w:lineRule="atLeast"/>
              <w:jc w:val="both"/>
              <w:rPr>
                <w:rFonts w:ascii="Times New Roman" w:hAnsi="Times New Roman" w:cs="Times New Roman"/>
                <w:b/>
                <w:i/>
                <w:iCs/>
                <w:color w:val="auto"/>
                <w:sz w:val="20"/>
                <w:szCs w:val="20"/>
                <w:lang w:val="bg-BG"/>
              </w:rPr>
            </w:pPr>
          </w:p>
        </w:tc>
        <w:tc>
          <w:tcPr>
            <w:tcW w:w="898" w:type="dxa"/>
          </w:tcPr>
          <w:p w:rsidR="008E0881" w:rsidRPr="00BA7402" w:rsidRDefault="008E0881" w:rsidP="00975B28">
            <w:pPr>
              <w:pStyle w:val="Default"/>
              <w:spacing w:line="260" w:lineRule="atLeast"/>
              <w:jc w:val="center"/>
              <w:rPr>
                <w:rFonts w:ascii="Times New Roman" w:hAnsi="Times New Roman" w:cs="Times New Roman"/>
                <w:b/>
                <w:bCs/>
                <w:i/>
                <w:color w:val="auto"/>
                <w:sz w:val="20"/>
                <w:szCs w:val="20"/>
                <w:lang w:val="bg-BG"/>
              </w:rPr>
            </w:pPr>
          </w:p>
        </w:tc>
        <w:tc>
          <w:tcPr>
            <w:tcW w:w="1330" w:type="dxa"/>
            <w:tcBorders>
              <w:top w:val="single" w:sz="4" w:space="0" w:color="auto"/>
              <w:bottom w:val="single" w:sz="12" w:space="0" w:color="auto"/>
            </w:tcBorders>
            <w:shd w:val="clear" w:color="auto" w:fill="F2F2F2"/>
          </w:tcPr>
          <w:p w:rsidR="008E0881" w:rsidRPr="00BA7402" w:rsidRDefault="006047BA"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40</w:t>
            </w:r>
            <w:r w:rsidR="008E0881" w:rsidRPr="00BA7402">
              <w:rPr>
                <w:rFonts w:ascii="Times New Roman" w:hAnsi="Times New Roman" w:cs="Times New Roman"/>
                <w:bCs/>
                <w:color w:val="auto"/>
                <w:sz w:val="20"/>
                <w:szCs w:val="20"/>
                <w:lang w:val="bg-BG"/>
              </w:rPr>
              <w:t>5</w:t>
            </w:r>
          </w:p>
        </w:tc>
        <w:tc>
          <w:tcPr>
            <w:tcW w:w="1331" w:type="dxa"/>
            <w:tcBorders>
              <w:top w:val="single" w:sz="4" w:space="0" w:color="auto"/>
              <w:bottom w:val="single" w:sz="12" w:space="0" w:color="auto"/>
            </w:tcBorders>
          </w:tcPr>
          <w:p w:rsidR="008E0881" w:rsidRPr="00BA7402" w:rsidRDefault="006047BA"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40</w:t>
            </w:r>
            <w:r w:rsidR="008E0881" w:rsidRPr="00BA7402">
              <w:rPr>
                <w:rFonts w:ascii="Times New Roman" w:hAnsi="Times New Roman" w:cs="Times New Roman"/>
                <w:bCs/>
                <w:color w:val="auto"/>
                <w:sz w:val="20"/>
                <w:szCs w:val="20"/>
                <w:lang w:val="bg-BG"/>
              </w:rPr>
              <w:t>5</w:t>
            </w:r>
          </w:p>
        </w:tc>
      </w:tr>
    </w:tbl>
    <w:p w:rsidR="008E0881" w:rsidRPr="00BA7402" w:rsidRDefault="002863F2" w:rsidP="006C6E65">
      <w:pPr>
        <w:pStyle w:val="Heading2"/>
        <w:spacing w:before="240" w:after="120" w:line="260" w:lineRule="atLeast"/>
        <w:rPr>
          <w:rFonts w:ascii="Times New Roman" w:hAnsi="Times New Roman"/>
          <w:color w:val="auto"/>
          <w:sz w:val="20"/>
          <w:szCs w:val="20"/>
          <w:lang w:val="bg-BG"/>
        </w:rPr>
      </w:pPr>
      <w:bookmarkStart w:id="16" w:name="_Toc515965330"/>
      <w:r>
        <w:rPr>
          <w:rFonts w:ascii="Times New Roman" w:hAnsi="Times New Roman"/>
          <w:color w:val="auto"/>
          <w:sz w:val="20"/>
          <w:szCs w:val="20"/>
          <w:lang w:val="bg-BG"/>
        </w:rPr>
        <w:t>8</w:t>
      </w:r>
      <w:r w:rsidR="006C6E65">
        <w:rPr>
          <w:rFonts w:ascii="Times New Roman" w:hAnsi="Times New Roman"/>
          <w:color w:val="auto"/>
          <w:sz w:val="20"/>
          <w:szCs w:val="20"/>
          <w:lang w:val="bg-BG"/>
        </w:rPr>
        <w:t>.</w:t>
      </w:r>
      <w:r w:rsidR="008E0881" w:rsidRPr="00BA7402">
        <w:rPr>
          <w:rFonts w:ascii="Times New Roman" w:hAnsi="Times New Roman"/>
          <w:color w:val="auto"/>
          <w:sz w:val="20"/>
          <w:szCs w:val="20"/>
          <w:lang w:val="bg-BG"/>
        </w:rPr>
        <w:t>Капитал и резерви</w:t>
      </w:r>
      <w:bookmarkEnd w:id="16"/>
      <w:r w:rsidR="008E0881" w:rsidRPr="00BA7402">
        <w:rPr>
          <w:rFonts w:ascii="Times New Roman" w:hAnsi="Times New Roman"/>
          <w:color w:val="auto"/>
          <w:sz w:val="20"/>
          <w:szCs w:val="20"/>
          <w:lang w:val="bg-BG"/>
        </w:rPr>
        <w:t xml:space="preserve"> </w:t>
      </w:r>
    </w:p>
    <w:p w:rsidR="008E0881" w:rsidRPr="00BA7402" w:rsidRDefault="008E0881" w:rsidP="008E0881">
      <w:pPr>
        <w:pStyle w:val="Heading3"/>
        <w:spacing w:before="120"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(а)  Регистриран капитал </w:t>
      </w:r>
    </w:p>
    <w:tbl>
      <w:tblPr>
        <w:tblW w:w="8730" w:type="dxa"/>
        <w:tblBorders>
          <w:top w:val="nil"/>
          <w:left w:val="nil"/>
          <w:bottom w:val="nil"/>
          <w:right w:val="nil"/>
        </w:tblBorders>
        <w:tblLayout w:type="fixed"/>
        <w:tblLook w:val="0000" w:firstRow="0" w:lastRow="0" w:firstColumn="0" w:lastColumn="0" w:noHBand="0" w:noVBand="0"/>
      </w:tblPr>
      <w:tblGrid>
        <w:gridCol w:w="5940"/>
        <w:gridCol w:w="1395"/>
        <w:gridCol w:w="1395"/>
      </w:tblGrid>
      <w:tr w:rsidR="008E0881" w:rsidRPr="00BA7402" w:rsidTr="00975B28">
        <w:tc>
          <w:tcPr>
            <w:tcW w:w="5940" w:type="dxa"/>
          </w:tcPr>
          <w:p w:rsidR="008E0881" w:rsidRPr="00BA7402" w:rsidRDefault="008E0881" w:rsidP="00975B28">
            <w:pPr>
              <w:pStyle w:val="Default"/>
              <w:spacing w:line="260" w:lineRule="atLeast"/>
              <w:jc w:val="both"/>
              <w:rPr>
                <w:rFonts w:ascii="Times New Roman" w:hAnsi="Times New Roman" w:cs="Times New Roman"/>
                <w:color w:val="auto"/>
                <w:sz w:val="20"/>
                <w:szCs w:val="20"/>
                <w:lang w:val="bg-BG"/>
              </w:rPr>
            </w:pPr>
          </w:p>
        </w:tc>
        <w:tc>
          <w:tcPr>
            <w:tcW w:w="2790" w:type="dxa"/>
            <w:gridSpan w:val="2"/>
            <w:shd w:val="clear" w:color="auto" w:fill="auto"/>
            <w:vAlign w:val="bottom"/>
          </w:tcPr>
          <w:p w:rsidR="008E0881" w:rsidRPr="00BA7402" w:rsidRDefault="008E0881" w:rsidP="00975B28">
            <w:pPr>
              <w:pStyle w:val="Default"/>
              <w:spacing w:line="260" w:lineRule="atLeast"/>
              <w:jc w:val="center"/>
              <w:rPr>
                <w:rFonts w:ascii="Times New Roman" w:hAnsi="Times New Roman" w:cs="Times New Roman"/>
                <w:b/>
                <w:color w:val="auto"/>
                <w:sz w:val="20"/>
                <w:szCs w:val="20"/>
                <w:lang w:val="bg-BG"/>
              </w:rPr>
            </w:pPr>
            <w:r w:rsidRPr="00BA7402">
              <w:rPr>
                <w:rStyle w:val="FontStyle147"/>
                <w:rFonts w:ascii="Times New Roman" w:hAnsi="Times New Roman" w:cs="Times New Roman"/>
                <w:color w:val="auto"/>
                <w:sz w:val="20"/>
                <w:szCs w:val="20"/>
                <w:lang w:val="bg-BG"/>
              </w:rPr>
              <w:t>Обикновени акции</w:t>
            </w:r>
          </w:p>
        </w:tc>
      </w:tr>
      <w:tr w:rsidR="008E0881" w:rsidRPr="00BA7402" w:rsidTr="00975B28">
        <w:tc>
          <w:tcPr>
            <w:tcW w:w="5940" w:type="dxa"/>
          </w:tcPr>
          <w:p w:rsidR="008E0881" w:rsidRPr="00BA7402" w:rsidRDefault="008E0881" w:rsidP="00975B28">
            <w:pPr>
              <w:pStyle w:val="Default"/>
              <w:spacing w:line="260" w:lineRule="atLeast"/>
              <w:jc w:val="both"/>
              <w:rPr>
                <w:rFonts w:ascii="Times New Roman" w:hAnsi="Times New Roman" w:cs="Times New Roman"/>
                <w:i/>
                <w:color w:val="auto"/>
                <w:sz w:val="20"/>
                <w:szCs w:val="20"/>
                <w:lang w:val="bg-BG"/>
              </w:rPr>
            </w:pPr>
            <w:r w:rsidRPr="00BA7402">
              <w:rPr>
                <w:rFonts w:ascii="Times New Roman" w:hAnsi="Times New Roman" w:cs="Times New Roman"/>
                <w:i/>
                <w:color w:val="auto"/>
                <w:sz w:val="20"/>
                <w:szCs w:val="20"/>
                <w:lang w:val="bg-BG"/>
              </w:rPr>
              <w:t>В хиляди акции</w:t>
            </w:r>
          </w:p>
        </w:tc>
        <w:tc>
          <w:tcPr>
            <w:tcW w:w="1395" w:type="dxa"/>
            <w:shd w:val="clear" w:color="auto" w:fill="F2F2F2"/>
            <w:vAlign w:val="bottom"/>
          </w:tcPr>
          <w:p w:rsidR="008E0881" w:rsidRPr="00BA7402" w:rsidRDefault="008E0881" w:rsidP="006047BA">
            <w:pPr>
              <w:pStyle w:val="Default"/>
              <w:spacing w:line="260" w:lineRule="atLeast"/>
              <w:jc w:val="right"/>
              <w:rPr>
                <w:rFonts w:ascii="Times New Roman" w:hAnsi="Times New Roman" w:cs="Times New Roman"/>
                <w:b/>
                <w:color w:val="auto"/>
                <w:sz w:val="20"/>
                <w:szCs w:val="20"/>
              </w:rPr>
            </w:pPr>
            <w:r w:rsidRPr="00BA7402">
              <w:rPr>
                <w:rFonts w:ascii="Times New Roman" w:hAnsi="Times New Roman" w:cs="Times New Roman"/>
                <w:b/>
                <w:color w:val="auto"/>
                <w:sz w:val="20"/>
                <w:szCs w:val="20"/>
              </w:rPr>
              <w:t>201</w:t>
            </w:r>
            <w:r w:rsidR="006047BA" w:rsidRPr="00BA7402">
              <w:rPr>
                <w:rFonts w:ascii="Times New Roman" w:hAnsi="Times New Roman" w:cs="Times New Roman"/>
                <w:b/>
                <w:color w:val="auto"/>
                <w:sz w:val="20"/>
                <w:szCs w:val="20"/>
                <w:lang w:val="bg-BG"/>
              </w:rPr>
              <w:t>9</w:t>
            </w:r>
          </w:p>
        </w:tc>
        <w:tc>
          <w:tcPr>
            <w:tcW w:w="1395" w:type="dxa"/>
            <w:vAlign w:val="bottom"/>
          </w:tcPr>
          <w:p w:rsidR="008E0881" w:rsidRPr="00BA7402" w:rsidRDefault="008E0881" w:rsidP="006047BA">
            <w:pPr>
              <w:pStyle w:val="Default"/>
              <w:spacing w:line="260" w:lineRule="atLeast"/>
              <w:jc w:val="right"/>
              <w:rPr>
                <w:rFonts w:ascii="Times New Roman" w:hAnsi="Times New Roman" w:cs="Times New Roman"/>
                <w:b/>
                <w:color w:val="auto"/>
                <w:sz w:val="20"/>
                <w:szCs w:val="20"/>
              </w:rPr>
            </w:pPr>
            <w:r w:rsidRPr="00BA7402">
              <w:rPr>
                <w:rFonts w:ascii="Times New Roman" w:hAnsi="Times New Roman" w:cs="Times New Roman"/>
                <w:b/>
                <w:color w:val="auto"/>
                <w:sz w:val="20"/>
                <w:szCs w:val="20"/>
              </w:rPr>
              <w:t>201</w:t>
            </w:r>
            <w:r w:rsidR="006047BA" w:rsidRPr="00BA7402">
              <w:rPr>
                <w:rFonts w:ascii="Times New Roman" w:hAnsi="Times New Roman" w:cs="Times New Roman"/>
                <w:b/>
                <w:color w:val="auto"/>
                <w:sz w:val="20"/>
                <w:szCs w:val="20"/>
                <w:lang w:val="bg-BG"/>
              </w:rPr>
              <w:t>8</w:t>
            </w:r>
          </w:p>
        </w:tc>
      </w:tr>
      <w:tr w:rsidR="008E0881" w:rsidRPr="00BA7402" w:rsidTr="00975B28">
        <w:tc>
          <w:tcPr>
            <w:tcW w:w="5940" w:type="dxa"/>
            <w:vAlign w:val="bottom"/>
          </w:tcPr>
          <w:p w:rsidR="008E0881" w:rsidRPr="00BA7402" w:rsidRDefault="008E0881" w:rsidP="00975B28">
            <w:pPr>
              <w:pStyle w:val="Style24"/>
              <w:widowControl/>
              <w:spacing w:line="240" w:lineRule="auto"/>
              <w:jc w:val="both"/>
              <w:rPr>
                <w:rStyle w:val="FontStyle156"/>
                <w:rFonts w:ascii="Times New Roman" w:hAnsi="Times New Roman" w:cs="Times New Roman"/>
                <w:sz w:val="20"/>
                <w:szCs w:val="20"/>
                <w:lang w:val="bg-BG"/>
              </w:rPr>
            </w:pPr>
            <w:r w:rsidRPr="00BA7402">
              <w:rPr>
                <w:rStyle w:val="FontStyle156"/>
                <w:rFonts w:ascii="Times New Roman" w:hAnsi="Times New Roman" w:cs="Times New Roman"/>
                <w:sz w:val="20"/>
                <w:szCs w:val="20"/>
                <w:lang w:val="bg-BG"/>
              </w:rPr>
              <w:t>Издадени към 1 януари</w:t>
            </w:r>
          </w:p>
        </w:tc>
        <w:tc>
          <w:tcPr>
            <w:tcW w:w="1395" w:type="dxa"/>
            <w:shd w:val="clear" w:color="auto" w:fill="F2F2F2"/>
            <w:vAlign w:val="bottom"/>
          </w:tcPr>
          <w:p w:rsidR="008E0881" w:rsidRPr="00BA7402" w:rsidRDefault="006047BA"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231</w:t>
            </w:r>
            <w:r w:rsidR="008E0881" w:rsidRPr="00BA7402">
              <w:rPr>
                <w:rFonts w:ascii="Times New Roman" w:hAnsi="Times New Roman" w:cs="Times New Roman"/>
                <w:color w:val="auto"/>
                <w:sz w:val="20"/>
                <w:szCs w:val="20"/>
                <w:lang w:val="bg-BG"/>
              </w:rPr>
              <w:t xml:space="preserve"> </w:t>
            </w:r>
            <w:r w:rsidRPr="00BA7402">
              <w:rPr>
                <w:rFonts w:ascii="Times New Roman" w:hAnsi="Times New Roman" w:cs="Times New Roman"/>
                <w:color w:val="auto"/>
                <w:sz w:val="20"/>
                <w:szCs w:val="20"/>
                <w:lang w:val="bg-BG"/>
              </w:rPr>
              <w:t>3</w:t>
            </w:r>
            <w:r w:rsidR="008E0881" w:rsidRPr="00BA7402">
              <w:rPr>
                <w:rFonts w:ascii="Times New Roman" w:hAnsi="Times New Roman" w:cs="Times New Roman"/>
                <w:color w:val="auto"/>
                <w:sz w:val="20"/>
                <w:szCs w:val="20"/>
                <w:lang w:val="bg-BG"/>
              </w:rPr>
              <w:t>8</w:t>
            </w:r>
            <w:r w:rsidRPr="00BA7402">
              <w:rPr>
                <w:rFonts w:ascii="Times New Roman" w:hAnsi="Times New Roman" w:cs="Times New Roman"/>
                <w:color w:val="auto"/>
                <w:sz w:val="20"/>
                <w:szCs w:val="20"/>
                <w:lang w:val="bg-BG"/>
              </w:rPr>
              <w:t>6</w:t>
            </w:r>
          </w:p>
        </w:tc>
        <w:tc>
          <w:tcPr>
            <w:tcW w:w="1395" w:type="dxa"/>
            <w:vAlign w:val="bottom"/>
          </w:tcPr>
          <w:p w:rsidR="008E0881" w:rsidRPr="00BA7402" w:rsidRDefault="008E0881"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w:t>
            </w:r>
            <w:r w:rsidR="006047BA" w:rsidRPr="00BA7402">
              <w:rPr>
                <w:rFonts w:ascii="Times New Roman" w:hAnsi="Times New Roman" w:cs="Times New Roman"/>
                <w:color w:val="auto"/>
                <w:sz w:val="20"/>
                <w:szCs w:val="20"/>
                <w:lang w:val="bg-BG"/>
              </w:rPr>
              <w:t>31</w:t>
            </w:r>
            <w:r w:rsidRPr="00BA7402">
              <w:rPr>
                <w:rFonts w:ascii="Times New Roman" w:hAnsi="Times New Roman" w:cs="Times New Roman"/>
                <w:color w:val="auto"/>
                <w:sz w:val="20"/>
                <w:szCs w:val="20"/>
                <w:lang w:val="bg-BG"/>
              </w:rPr>
              <w:t xml:space="preserve"> </w:t>
            </w:r>
            <w:r w:rsidR="006047BA" w:rsidRPr="00BA7402">
              <w:rPr>
                <w:rFonts w:ascii="Times New Roman" w:hAnsi="Times New Roman" w:cs="Times New Roman"/>
                <w:color w:val="auto"/>
                <w:sz w:val="20"/>
                <w:szCs w:val="20"/>
                <w:lang w:val="bg-BG"/>
              </w:rPr>
              <w:t>3</w:t>
            </w:r>
            <w:r w:rsidRPr="00BA7402">
              <w:rPr>
                <w:rFonts w:ascii="Times New Roman" w:hAnsi="Times New Roman" w:cs="Times New Roman"/>
                <w:color w:val="auto"/>
                <w:sz w:val="20"/>
                <w:szCs w:val="20"/>
                <w:lang w:val="bg-BG"/>
              </w:rPr>
              <w:t>8</w:t>
            </w:r>
            <w:r w:rsidR="006047BA" w:rsidRPr="00BA7402">
              <w:rPr>
                <w:rFonts w:ascii="Times New Roman" w:hAnsi="Times New Roman" w:cs="Times New Roman"/>
                <w:color w:val="auto"/>
                <w:sz w:val="20"/>
                <w:szCs w:val="20"/>
                <w:lang w:val="bg-BG"/>
              </w:rPr>
              <w:t>6</w:t>
            </w:r>
          </w:p>
        </w:tc>
      </w:tr>
      <w:tr w:rsidR="008E0881" w:rsidRPr="00BA7402" w:rsidTr="00975B28">
        <w:tc>
          <w:tcPr>
            <w:tcW w:w="5940" w:type="dxa"/>
            <w:vAlign w:val="bottom"/>
          </w:tcPr>
          <w:p w:rsidR="008E0881" w:rsidRPr="00BA7402" w:rsidRDefault="008E0881" w:rsidP="00975B28">
            <w:pPr>
              <w:pStyle w:val="Style24"/>
              <w:widowControl/>
              <w:spacing w:line="240" w:lineRule="auto"/>
              <w:jc w:val="both"/>
              <w:rPr>
                <w:rStyle w:val="FontStyle156"/>
                <w:rFonts w:ascii="Times New Roman" w:hAnsi="Times New Roman" w:cs="Times New Roman"/>
                <w:sz w:val="20"/>
                <w:szCs w:val="20"/>
                <w:lang w:val="bg-BG"/>
              </w:rPr>
            </w:pPr>
          </w:p>
        </w:tc>
        <w:tc>
          <w:tcPr>
            <w:tcW w:w="1395" w:type="dxa"/>
            <w:shd w:val="clear" w:color="auto" w:fill="F2F2F2"/>
            <w:vAlign w:val="bottom"/>
          </w:tcPr>
          <w:p w:rsidR="008E0881" w:rsidRPr="00BA7402" w:rsidRDefault="008E0881" w:rsidP="00975B28">
            <w:pPr>
              <w:pStyle w:val="Default"/>
              <w:spacing w:line="260" w:lineRule="atLeast"/>
              <w:jc w:val="right"/>
              <w:rPr>
                <w:rFonts w:ascii="Times New Roman" w:hAnsi="Times New Roman" w:cs="Times New Roman"/>
                <w:color w:val="auto"/>
                <w:sz w:val="20"/>
                <w:szCs w:val="20"/>
              </w:rPr>
            </w:pPr>
          </w:p>
        </w:tc>
        <w:tc>
          <w:tcPr>
            <w:tcW w:w="1395" w:type="dxa"/>
            <w:vAlign w:val="bottom"/>
          </w:tcPr>
          <w:p w:rsidR="008E0881" w:rsidRPr="00BA7402" w:rsidRDefault="008E0881" w:rsidP="00975B28">
            <w:pPr>
              <w:pStyle w:val="Default"/>
              <w:spacing w:line="260" w:lineRule="atLeast"/>
              <w:jc w:val="right"/>
              <w:rPr>
                <w:rFonts w:ascii="Times New Roman" w:hAnsi="Times New Roman" w:cs="Times New Roman"/>
                <w:color w:val="auto"/>
                <w:sz w:val="20"/>
                <w:szCs w:val="20"/>
                <w:lang w:val="bg-BG"/>
              </w:rPr>
            </w:pPr>
          </w:p>
        </w:tc>
      </w:tr>
      <w:tr w:rsidR="008E0881" w:rsidRPr="00BA7402" w:rsidTr="00975B28">
        <w:tc>
          <w:tcPr>
            <w:tcW w:w="5940" w:type="dxa"/>
            <w:vAlign w:val="center"/>
          </w:tcPr>
          <w:p w:rsidR="008E0881" w:rsidRPr="00BA7402" w:rsidRDefault="008E0881" w:rsidP="00975B28">
            <w:pPr>
              <w:pStyle w:val="Default"/>
              <w:spacing w:line="260" w:lineRule="atLeast"/>
              <w:jc w:val="both"/>
              <w:rPr>
                <w:rFonts w:ascii="Times New Roman" w:hAnsi="Times New Roman" w:cs="Times New Roman"/>
                <w:b/>
                <w:color w:val="auto"/>
                <w:sz w:val="20"/>
                <w:szCs w:val="20"/>
                <w:lang w:val="bg-BG"/>
              </w:rPr>
            </w:pPr>
            <w:r w:rsidRPr="00BA7402">
              <w:rPr>
                <w:rStyle w:val="FontStyle156"/>
                <w:rFonts w:ascii="Times New Roman" w:hAnsi="Times New Roman" w:cs="Times New Roman"/>
                <w:b/>
                <w:color w:val="auto"/>
                <w:sz w:val="20"/>
                <w:szCs w:val="20"/>
                <w:lang w:val="bg-BG"/>
              </w:rPr>
              <w:t>Издадени към 31 декември – напълно изплатени</w:t>
            </w:r>
          </w:p>
        </w:tc>
        <w:tc>
          <w:tcPr>
            <w:tcW w:w="1395" w:type="dxa"/>
            <w:tcBorders>
              <w:top w:val="single" w:sz="4" w:space="0" w:color="auto"/>
              <w:bottom w:val="single" w:sz="12" w:space="0" w:color="auto"/>
            </w:tcBorders>
            <w:shd w:val="clear" w:color="auto" w:fill="F2F2F2"/>
            <w:vAlign w:val="bottom"/>
          </w:tcPr>
          <w:p w:rsidR="008E0881" w:rsidRPr="00BA7402" w:rsidRDefault="008E0881"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w:t>
            </w:r>
            <w:r w:rsidR="006047BA" w:rsidRPr="00BA7402">
              <w:rPr>
                <w:rFonts w:ascii="Times New Roman" w:hAnsi="Times New Roman" w:cs="Times New Roman"/>
                <w:color w:val="auto"/>
                <w:sz w:val="20"/>
                <w:szCs w:val="20"/>
                <w:lang w:val="bg-BG"/>
              </w:rPr>
              <w:t>31</w:t>
            </w:r>
            <w:r w:rsidRPr="00BA7402">
              <w:rPr>
                <w:rFonts w:ascii="Times New Roman" w:hAnsi="Times New Roman" w:cs="Times New Roman"/>
                <w:color w:val="auto"/>
                <w:sz w:val="20"/>
                <w:szCs w:val="20"/>
                <w:lang w:val="bg-BG"/>
              </w:rPr>
              <w:t xml:space="preserve"> </w:t>
            </w:r>
            <w:r w:rsidR="006047BA" w:rsidRPr="00BA7402">
              <w:rPr>
                <w:rFonts w:ascii="Times New Roman" w:hAnsi="Times New Roman" w:cs="Times New Roman"/>
                <w:color w:val="auto"/>
                <w:sz w:val="20"/>
                <w:szCs w:val="20"/>
                <w:lang w:val="bg-BG"/>
              </w:rPr>
              <w:t>3</w:t>
            </w:r>
            <w:r w:rsidRPr="00BA7402">
              <w:rPr>
                <w:rFonts w:ascii="Times New Roman" w:hAnsi="Times New Roman" w:cs="Times New Roman"/>
                <w:color w:val="auto"/>
                <w:sz w:val="20"/>
                <w:szCs w:val="20"/>
                <w:lang w:val="bg-BG"/>
              </w:rPr>
              <w:t>8</w:t>
            </w:r>
            <w:r w:rsidR="006047BA" w:rsidRPr="00BA7402">
              <w:rPr>
                <w:rFonts w:ascii="Times New Roman" w:hAnsi="Times New Roman" w:cs="Times New Roman"/>
                <w:color w:val="auto"/>
                <w:sz w:val="20"/>
                <w:szCs w:val="20"/>
                <w:lang w:val="bg-BG"/>
              </w:rPr>
              <w:t>6</w:t>
            </w:r>
          </w:p>
        </w:tc>
        <w:tc>
          <w:tcPr>
            <w:tcW w:w="1395" w:type="dxa"/>
            <w:tcBorders>
              <w:top w:val="single" w:sz="4" w:space="0" w:color="auto"/>
              <w:bottom w:val="single" w:sz="12" w:space="0" w:color="auto"/>
            </w:tcBorders>
            <w:vAlign w:val="bottom"/>
          </w:tcPr>
          <w:p w:rsidR="008E0881" w:rsidRPr="00BA7402" w:rsidRDefault="008E0881"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w:t>
            </w:r>
            <w:r w:rsidR="006047BA" w:rsidRPr="00BA7402">
              <w:rPr>
                <w:rFonts w:ascii="Times New Roman" w:hAnsi="Times New Roman" w:cs="Times New Roman"/>
                <w:color w:val="auto"/>
                <w:sz w:val="20"/>
                <w:szCs w:val="20"/>
                <w:lang w:val="bg-BG"/>
              </w:rPr>
              <w:t>31</w:t>
            </w:r>
            <w:r w:rsidRPr="00BA7402">
              <w:rPr>
                <w:rFonts w:ascii="Times New Roman" w:hAnsi="Times New Roman" w:cs="Times New Roman"/>
                <w:color w:val="auto"/>
                <w:sz w:val="20"/>
                <w:szCs w:val="20"/>
                <w:lang w:val="bg-BG"/>
              </w:rPr>
              <w:t xml:space="preserve"> </w:t>
            </w:r>
            <w:r w:rsidR="006047BA" w:rsidRPr="00BA7402">
              <w:rPr>
                <w:rFonts w:ascii="Times New Roman" w:hAnsi="Times New Roman" w:cs="Times New Roman"/>
                <w:color w:val="auto"/>
                <w:sz w:val="20"/>
                <w:szCs w:val="20"/>
                <w:lang w:val="bg-BG"/>
              </w:rPr>
              <w:t>1</w:t>
            </w:r>
            <w:r w:rsidRPr="00BA7402">
              <w:rPr>
                <w:rFonts w:ascii="Times New Roman" w:hAnsi="Times New Roman" w:cs="Times New Roman"/>
                <w:color w:val="auto"/>
                <w:sz w:val="20"/>
                <w:szCs w:val="20"/>
                <w:lang w:val="bg-BG"/>
              </w:rPr>
              <w:t>8</w:t>
            </w:r>
            <w:r w:rsidR="006047BA" w:rsidRPr="00BA7402">
              <w:rPr>
                <w:rFonts w:ascii="Times New Roman" w:hAnsi="Times New Roman" w:cs="Times New Roman"/>
                <w:color w:val="auto"/>
                <w:sz w:val="20"/>
                <w:szCs w:val="20"/>
                <w:lang w:val="bg-BG"/>
              </w:rPr>
              <w:t>6</w:t>
            </w:r>
          </w:p>
        </w:tc>
      </w:tr>
      <w:tr w:rsidR="008E0881" w:rsidRPr="00BA7402" w:rsidTr="00975B28">
        <w:tc>
          <w:tcPr>
            <w:tcW w:w="5940" w:type="dxa"/>
            <w:vAlign w:val="center"/>
          </w:tcPr>
          <w:p w:rsidR="008E0881" w:rsidRPr="00BA7402" w:rsidRDefault="008E0881" w:rsidP="00975B28">
            <w:pPr>
              <w:pStyle w:val="Default"/>
              <w:spacing w:line="260" w:lineRule="atLeast"/>
              <w:jc w:val="both"/>
              <w:rPr>
                <w:rFonts w:ascii="Times New Roman" w:hAnsi="Times New Roman" w:cs="Times New Roman"/>
                <w:color w:val="auto"/>
                <w:sz w:val="20"/>
                <w:szCs w:val="20"/>
                <w:lang w:val="bg-BG"/>
              </w:rPr>
            </w:pPr>
          </w:p>
        </w:tc>
        <w:tc>
          <w:tcPr>
            <w:tcW w:w="1395" w:type="dxa"/>
            <w:tcBorders>
              <w:top w:val="single" w:sz="12" w:space="0" w:color="auto"/>
              <w:bottom w:val="nil"/>
            </w:tcBorders>
            <w:shd w:val="clear" w:color="auto" w:fill="F2F2F2"/>
            <w:vAlign w:val="bottom"/>
          </w:tcPr>
          <w:p w:rsidR="008E0881" w:rsidRPr="00BA7402" w:rsidRDefault="008E0881" w:rsidP="00975B28">
            <w:pPr>
              <w:pStyle w:val="Default"/>
              <w:spacing w:line="260" w:lineRule="atLeast"/>
              <w:jc w:val="right"/>
              <w:rPr>
                <w:rFonts w:ascii="Times New Roman" w:hAnsi="Times New Roman" w:cs="Times New Roman"/>
                <w:color w:val="auto"/>
                <w:sz w:val="20"/>
                <w:szCs w:val="20"/>
                <w:lang w:val="bg-BG"/>
              </w:rPr>
            </w:pPr>
          </w:p>
        </w:tc>
        <w:tc>
          <w:tcPr>
            <w:tcW w:w="1395" w:type="dxa"/>
            <w:tcBorders>
              <w:top w:val="single" w:sz="12" w:space="0" w:color="auto"/>
              <w:bottom w:val="nil"/>
            </w:tcBorders>
            <w:vAlign w:val="bottom"/>
          </w:tcPr>
          <w:p w:rsidR="008E0881" w:rsidRPr="00BA7402" w:rsidRDefault="008E0881" w:rsidP="00975B28">
            <w:pPr>
              <w:pStyle w:val="Default"/>
              <w:spacing w:line="260" w:lineRule="atLeast"/>
              <w:jc w:val="right"/>
              <w:rPr>
                <w:rFonts w:ascii="Times New Roman" w:hAnsi="Times New Roman" w:cs="Times New Roman"/>
                <w:color w:val="auto"/>
                <w:sz w:val="20"/>
                <w:szCs w:val="20"/>
                <w:lang w:val="bg-BG"/>
              </w:rPr>
            </w:pPr>
          </w:p>
        </w:tc>
      </w:tr>
      <w:tr w:rsidR="008E0881" w:rsidRPr="00BA7402" w:rsidTr="00975B28">
        <w:tc>
          <w:tcPr>
            <w:tcW w:w="5940" w:type="dxa"/>
            <w:vAlign w:val="center"/>
          </w:tcPr>
          <w:p w:rsidR="008E0881" w:rsidRPr="00BA7402" w:rsidRDefault="008E0881" w:rsidP="00975B28">
            <w:pPr>
              <w:pStyle w:val="Default"/>
              <w:spacing w:line="260" w:lineRule="atLeast"/>
              <w:jc w:val="both"/>
              <w:rPr>
                <w:rFonts w:ascii="Times New Roman" w:hAnsi="Times New Roman" w:cs="Times New Roman"/>
                <w:color w:val="auto"/>
                <w:sz w:val="20"/>
                <w:szCs w:val="20"/>
                <w:lang w:val="bg-BG"/>
              </w:rPr>
            </w:pPr>
          </w:p>
        </w:tc>
        <w:tc>
          <w:tcPr>
            <w:tcW w:w="1395" w:type="dxa"/>
            <w:tcBorders>
              <w:top w:val="nil"/>
              <w:bottom w:val="single" w:sz="12" w:space="0" w:color="auto"/>
            </w:tcBorders>
            <w:shd w:val="clear" w:color="auto" w:fill="F2F2F2"/>
            <w:vAlign w:val="bottom"/>
          </w:tcPr>
          <w:p w:rsidR="008E0881" w:rsidRPr="00BA7402" w:rsidRDefault="008E0881"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w:t>
            </w:r>
            <w:r w:rsidR="006047BA" w:rsidRPr="00BA7402">
              <w:rPr>
                <w:rFonts w:ascii="Times New Roman" w:hAnsi="Times New Roman" w:cs="Times New Roman"/>
                <w:color w:val="auto"/>
                <w:sz w:val="20"/>
                <w:szCs w:val="20"/>
                <w:lang w:val="bg-BG"/>
              </w:rPr>
              <w:t>31</w:t>
            </w:r>
            <w:r w:rsidRPr="00BA7402">
              <w:rPr>
                <w:rFonts w:ascii="Times New Roman" w:hAnsi="Times New Roman" w:cs="Times New Roman"/>
                <w:color w:val="auto"/>
                <w:sz w:val="20"/>
                <w:szCs w:val="20"/>
                <w:lang w:val="bg-BG"/>
              </w:rPr>
              <w:t xml:space="preserve"> </w:t>
            </w:r>
            <w:r w:rsidR="006047BA" w:rsidRPr="00BA7402">
              <w:rPr>
                <w:rFonts w:ascii="Times New Roman" w:hAnsi="Times New Roman" w:cs="Times New Roman"/>
                <w:color w:val="auto"/>
                <w:sz w:val="20"/>
                <w:szCs w:val="20"/>
                <w:lang w:val="bg-BG"/>
              </w:rPr>
              <w:t>3</w:t>
            </w:r>
            <w:r w:rsidRPr="00BA7402">
              <w:rPr>
                <w:rFonts w:ascii="Times New Roman" w:hAnsi="Times New Roman" w:cs="Times New Roman"/>
                <w:color w:val="auto"/>
                <w:sz w:val="20"/>
                <w:szCs w:val="20"/>
                <w:lang w:val="bg-BG"/>
              </w:rPr>
              <w:t>8</w:t>
            </w:r>
            <w:r w:rsidR="006047BA" w:rsidRPr="00BA7402">
              <w:rPr>
                <w:rFonts w:ascii="Times New Roman" w:hAnsi="Times New Roman" w:cs="Times New Roman"/>
                <w:color w:val="auto"/>
                <w:sz w:val="20"/>
                <w:szCs w:val="20"/>
                <w:lang w:val="bg-BG"/>
              </w:rPr>
              <w:t>6</w:t>
            </w:r>
          </w:p>
        </w:tc>
        <w:tc>
          <w:tcPr>
            <w:tcW w:w="1395" w:type="dxa"/>
            <w:tcBorders>
              <w:top w:val="nil"/>
              <w:bottom w:val="single" w:sz="12" w:space="0" w:color="auto"/>
            </w:tcBorders>
            <w:vAlign w:val="bottom"/>
          </w:tcPr>
          <w:p w:rsidR="008E0881" w:rsidRPr="00BA7402" w:rsidRDefault="008E0881" w:rsidP="006047BA">
            <w:pPr>
              <w:pStyle w:val="Default"/>
              <w:spacing w:line="260" w:lineRule="atLeast"/>
              <w:jc w:val="righ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2</w:t>
            </w:r>
            <w:r w:rsidR="006047BA" w:rsidRPr="00BA7402">
              <w:rPr>
                <w:rFonts w:ascii="Times New Roman" w:hAnsi="Times New Roman" w:cs="Times New Roman"/>
                <w:color w:val="auto"/>
                <w:sz w:val="20"/>
                <w:szCs w:val="20"/>
                <w:lang w:val="bg-BG"/>
              </w:rPr>
              <w:t>31</w:t>
            </w:r>
            <w:r w:rsidRPr="00BA7402">
              <w:rPr>
                <w:rFonts w:ascii="Times New Roman" w:hAnsi="Times New Roman" w:cs="Times New Roman"/>
                <w:color w:val="auto"/>
                <w:sz w:val="20"/>
                <w:szCs w:val="20"/>
                <w:lang w:val="bg-BG"/>
              </w:rPr>
              <w:t xml:space="preserve"> </w:t>
            </w:r>
            <w:r w:rsidR="006047BA" w:rsidRPr="00BA7402">
              <w:rPr>
                <w:rFonts w:ascii="Times New Roman" w:hAnsi="Times New Roman" w:cs="Times New Roman"/>
                <w:color w:val="auto"/>
                <w:sz w:val="20"/>
                <w:szCs w:val="20"/>
                <w:lang w:val="bg-BG"/>
              </w:rPr>
              <w:t>3</w:t>
            </w:r>
            <w:r w:rsidRPr="00BA7402">
              <w:rPr>
                <w:rFonts w:ascii="Times New Roman" w:hAnsi="Times New Roman" w:cs="Times New Roman"/>
                <w:color w:val="auto"/>
                <w:sz w:val="20"/>
                <w:szCs w:val="20"/>
                <w:lang w:val="bg-BG"/>
              </w:rPr>
              <w:t>8</w:t>
            </w:r>
            <w:r w:rsidR="006047BA" w:rsidRPr="00BA7402">
              <w:rPr>
                <w:rFonts w:ascii="Times New Roman" w:hAnsi="Times New Roman" w:cs="Times New Roman"/>
                <w:color w:val="auto"/>
                <w:sz w:val="20"/>
                <w:szCs w:val="20"/>
                <w:lang w:val="bg-BG"/>
              </w:rPr>
              <w:t>6</w:t>
            </w:r>
          </w:p>
        </w:tc>
      </w:tr>
    </w:tbl>
    <w:p w:rsidR="008E0881" w:rsidRPr="00BA7402" w:rsidRDefault="008E0881" w:rsidP="008E0881">
      <w:pPr>
        <w:pStyle w:val="Heading3"/>
        <w:spacing w:after="120" w:line="260" w:lineRule="atLeast"/>
        <w:jc w:val="both"/>
        <w:rPr>
          <w:rFonts w:ascii="Times New Roman" w:hAnsi="Times New Roman"/>
          <w:b w:val="0"/>
          <w:color w:val="auto"/>
          <w:sz w:val="20"/>
          <w:szCs w:val="20"/>
        </w:rPr>
      </w:pPr>
      <w:r w:rsidRPr="00BA7402">
        <w:rPr>
          <w:rFonts w:ascii="Times New Roman" w:hAnsi="Times New Roman"/>
          <w:i/>
          <w:color w:val="auto"/>
          <w:sz w:val="20"/>
          <w:szCs w:val="20"/>
        </w:rPr>
        <w:t xml:space="preserve">        </w:t>
      </w:r>
      <w:proofErr w:type="spellStart"/>
      <w:r w:rsidRPr="00BA7402">
        <w:rPr>
          <w:rFonts w:ascii="Times New Roman" w:hAnsi="Times New Roman"/>
          <w:b w:val="0"/>
          <w:color w:val="auto"/>
          <w:sz w:val="20"/>
          <w:szCs w:val="20"/>
        </w:rPr>
        <w:t>Основният</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капитал</w:t>
      </w:r>
      <w:proofErr w:type="spellEnd"/>
      <w:r w:rsidRPr="00BA7402">
        <w:rPr>
          <w:rFonts w:ascii="Times New Roman" w:hAnsi="Times New Roman"/>
          <w:b w:val="0"/>
          <w:color w:val="auto"/>
          <w:sz w:val="20"/>
          <w:szCs w:val="20"/>
        </w:rPr>
        <w:t xml:space="preserve"> е </w:t>
      </w:r>
      <w:proofErr w:type="spellStart"/>
      <w:r w:rsidRPr="00BA7402">
        <w:rPr>
          <w:rFonts w:ascii="Times New Roman" w:hAnsi="Times New Roman"/>
          <w:b w:val="0"/>
          <w:color w:val="auto"/>
          <w:sz w:val="20"/>
          <w:szCs w:val="20"/>
        </w:rPr>
        <w:t>представен</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по</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неговата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номинална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стойност</w:t>
      </w:r>
      <w:proofErr w:type="spellEnd"/>
      <w:r w:rsidRPr="00BA7402">
        <w:rPr>
          <w:rFonts w:ascii="Times New Roman" w:hAnsi="Times New Roman"/>
          <w:b w:val="0"/>
          <w:color w:val="auto"/>
          <w:sz w:val="20"/>
          <w:szCs w:val="20"/>
        </w:rPr>
        <w:t xml:space="preserve"> и </w:t>
      </w:r>
      <w:proofErr w:type="spellStart"/>
      <w:r w:rsidRPr="00BA7402">
        <w:rPr>
          <w:rFonts w:ascii="Times New Roman" w:hAnsi="Times New Roman"/>
          <w:b w:val="0"/>
          <w:color w:val="auto"/>
          <w:sz w:val="20"/>
          <w:szCs w:val="20"/>
        </w:rPr>
        <w:t>съответства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на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актуалната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му</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съдебна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регистрация</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Към</w:t>
      </w:r>
      <w:proofErr w:type="spellEnd"/>
      <w:r w:rsidRPr="00BA7402">
        <w:rPr>
          <w:rFonts w:ascii="Times New Roman" w:hAnsi="Times New Roman"/>
          <w:b w:val="0"/>
          <w:color w:val="auto"/>
          <w:sz w:val="20"/>
          <w:szCs w:val="20"/>
        </w:rPr>
        <w:t xml:space="preserve"> 31.12.201</w:t>
      </w:r>
      <w:r w:rsidR="006047BA" w:rsidRPr="00BA7402">
        <w:rPr>
          <w:rFonts w:ascii="Times New Roman" w:hAnsi="Times New Roman"/>
          <w:b w:val="0"/>
          <w:color w:val="auto"/>
          <w:sz w:val="20"/>
          <w:szCs w:val="20"/>
          <w:lang w:val="bg-BG"/>
        </w:rPr>
        <w:t>9</w:t>
      </w:r>
      <w:r w:rsidRPr="00BA7402">
        <w:rPr>
          <w:rFonts w:ascii="Times New Roman" w:hAnsi="Times New Roman"/>
          <w:b w:val="0"/>
          <w:color w:val="auto"/>
          <w:sz w:val="20"/>
          <w:szCs w:val="20"/>
        </w:rPr>
        <w:t xml:space="preserve"> г. </w:t>
      </w:r>
      <w:proofErr w:type="spellStart"/>
      <w:r w:rsidRPr="00BA7402">
        <w:rPr>
          <w:rFonts w:ascii="Times New Roman" w:hAnsi="Times New Roman"/>
          <w:b w:val="0"/>
          <w:color w:val="auto"/>
          <w:sz w:val="20"/>
          <w:szCs w:val="20"/>
        </w:rPr>
        <w:t>внесеният</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напълно</w:t>
      </w:r>
      <w:proofErr w:type="spellEnd"/>
      <w:r w:rsidR="006047BA" w:rsidRPr="00BA7402">
        <w:rPr>
          <w:rFonts w:ascii="Times New Roman" w:hAnsi="Times New Roman"/>
          <w:b w:val="0"/>
          <w:color w:val="auto"/>
          <w:sz w:val="20"/>
          <w:szCs w:val="20"/>
        </w:rPr>
        <w:t xml:space="preserve"> </w:t>
      </w:r>
      <w:proofErr w:type="spellStart"/>
      <w:r w:rsidR="006047BA" w:rsidRPr="00BA7402">
        <w:rPr>
          <w:rFonts w:ascii="Times New Roman" w:hAnsi="Times New Roman"/>
          <w:b w:val="0"/>
          <w:color w:val="auto"/>
          <w:sz w:val="20"/>
          <w:szCs w:val="20"/>
        </w:rPr>
        <w:t>основен</w:t>
      </w:r>
      <w:proofErr w:type="spellEnd"/>
      <w:r w:rsidR="006047BA" w:rsidRPr="00BA7402">
        <w:rPr>
          <w:rFonts w:ascii="Times New Roman" w:hAnsi="Times New Roman"/>
          <w:b w:val="0"/>
          <w:color w:val="auto"/>
          <w:sz w:val="20"/>
          <w:szCs w:val="20"/>
        </w:rPr>
        <w:t xml:space="preserve"> </w:t>
      </w:r>
      <w:proofErr w:type="spellStart"/>
      <w:r w:rsidR="006047BA" w:rsidRPr="00BA7402">
        <w:rPr>
          <w:rFonts w:ascii="Times New Roman" w:hAnsi="Times New Roman"/>
          <w:b w:val="0"/>
          <w:color w:val="auto"/>
          <w:sz w:val="20"/>
          <w:szCs w:val="20"/>
        </w:rPr>
        <w:t>капитал</w:t>
      </w:r>
      <w:proofErr w:type="spellEnd"/>
      <w:r w:rsidR="006047BA" w:rsidRPr="00BA7402">
        <w:rPr>
          <w:rFonts w:ascii="Times New Roman" w:hAnsi="Times New Roman"/>
          <w:b w:val="0"/>
          <w:color w:val="auto"/>
          <w:sz w:val="20"/>
          <w:szCs w:val="20"/>
        </w:rPr>
        <w:t xml:space="preserve"> е в </w:t>
      </w:r>
      <w:proofErr w:type="spellStart"/>
      <w:r w:rsidR="006047BA" w:rsidRPr="00BA7402">
        <w:rPr>
          <w:rFonts w:ascii="Times New Roman" w:hAnsi="Times New Roman"/>
          <w:b w:val="0"/>
          <w:color w:val="auto"/>
          <w:sz w:val="20"/>
          <w:szCs w:val="20"/>
        </w:rPr>
        <w:t>размер</w:t>
      </w:r>
      <w:proofErr w:type="spellEnd"/>
      <w:r w:rsidR="006047BA" w:rsidRPr="00BA7402">
        <w:rPr>
          <w:rFonts w:ascii="Times New Roman" w:hAnsi="Times New Roman"/>
          <w:b w:val="0"/>
          <w:color w:val="auto"/>
          <w:sz w:val="20"/>
          <w:szCs w:val="20"/>
        </w:rPr>
        <w:t xml:space="preserve"> </w:t>
      </w:r>
      <w:proofErr w:type="spellStart"/>
      <w:r w:rsidR="006047BA" w:rsidRPr="00BA7402">
        <w:rPr>
          <w:rFonts w:ascii="Times New Roman" w:hAnsi="Times New Roman"/>
          <w:b w:val="0"/>
          <w:color w:val="auto"/>
          <w:sz w:val="20"/>
          <w:szCs w:val="20"/>
        </w:rPr>
        <w:t>на</w:t>
      </w:r>
      <w:proofErr w:type="spellEnd"/>
      <w:r w:rsidR="006047BA" w:rsidRPr="00BA7402">
        <w:rPr>
          <w:rFonts w:ascii="Times New Roman" w:hAnsi="Times New Roman"/>
          <w:b w:val="0"/>
          <w:color w:val="auto"/>
          <w:sz w:val="20"/>
          <w:szCs w:val="20"/>
        </w:rPr>
        <w:t xml:space="preserve"> 2</w:t>
      </w:r>
      <w:r w:rsidRPr="00BA7402">
        <w:rPr>
          <w:rFonts w:ascii="Times New Roman" w:hAnsi="Times New Roman"/>
          <w:b w:val="0"/>
          <w:color w:val="auto"/>
          <w:sz w:val="20"/>
          <w:szCs w:val="20"/>
        </w:rPr>
        <w:t>3</w:t>
      </w:r>
      <w:r w:rsidR="006047BA" w:rsidRPr="00BA7402">
        <w:rPr>
          <w:rFonts w:ascii="Times New Roman" w:hAnsi="Times New Roman"/>
          <w:b w:val="0"/>
          <w:color w:val="auto"/>
          <w:sz w:val="20"/>
          <w:szCs w:val="20"/>
          <w:lang w:val="bg-BG"/>
        </w:rPr>
        <w:t>1</w:t>
      </w:r>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хил</w:t>
      </w:r>
      <w:proofErr w:type="spellEnd"/>
      <w:r w:rsidRPr="00BA7402">
        <w:rPr>
          <w:rFonts w:ascii="Times New Roman" w:hAnsi="Times New Roman"/>
          <w:b w:val="0"/>
          <w:color w:val="auto"/>
          <w:sz w:val="20"/>
          <w:szCs w:val="20"/>
        </w:rPr>
        <w:t xml:space="preserve">. </w:t>
      </w:r>
      <w:proofErr w:type="spellStart"/>
      <w:proofErr w:type="gramStart"/>
      <w:r w:rsidRPr="00BA7402">
        <w:rPr>
          <w:rFonts w:ascii="Times New Roman" w:hAnsi="Times New Roman"/>
          <w:b w:val="0"/>
          <w:color w:val="auto"/>
          <w:sz w:val="20"/>
          <w:szCs w:val="20"/>
        </w:rPr>
        <w:t>лева</w:t>
      </w:r>
      <w:proofErr w:type="spellEnd"/>
      <w:proofErr w:type="gramEnd"/>
      <w:r w:rsidRPr="00BA7402">
        <w:rPr>
          <w:rFonts w:ascii="Times New Roman" w:hAnsi="Times New Roman"/>
          <w:b w:val="0"/>
          <w:color w:val="auto"/>
          <w:sz w:val="20"/>
          <w:szCs w:val="20"/>
        </w:rPr>
        <w:t xml:space="preserve"> и е </w:t>
      </w:r>
      <w:proofErr w:type="spellStart"/>
      <w:r w:rsidRPr="00BA7402">
        <w:rPr>
          <w:rFonts w:ascii="Times New Roman" w:hAnsi="Times New Roman"/>
          <w:b w:val="0"/>
          <w:color w:val="auto"/>
          <w:sz w:val="20"/>
          <w:szCs w:val="20"/>
        </w:rPr>
        <w:t>разпределен</w:t>
      </w:r>
      <w:proofErr w:type="spellEnd"/>
      <w:r w:rsidRPr="00BA7402">
        <w:rPr>
          <w:rFonts w:ascii="Times New Roman" w:hAnsi="Times New Roman"/>
          <w:b w:val="0"/>
          <w:color w:val="auto"/>
          <w:sz w:val="20"/>
          <w:szCs w:val="20"/>
        </w:rPr>
        <w:t xml:space="preserve"> в </w:t>
      </w:r>
      <w:r w:rsidR="006047BA" w:rsidRPr="00BA7402">
        <w:rPr>
          <w:rFonts w:ascii="Times New Roman" w:hAnsi="Times New Roman"/>
          <w:b w:val="0"/>
          <w:color w:val="auto"/>
          <w:sz w:val="20"/>
          <w:szCs w:val="20"/>
          <w:lang w:val="bg-BG"/>
        </w:rPr>
        <w:t>231386</w:t>
      </w:r>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броя</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поименни</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акции</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дялове</w:t>
      </w:r>
      <w:proofErr w:type="spellEnd"/>
      <w:r w:rsidRPr="00BA7402">
        <w:rPr>
          <w:rFonts w:ascii="Times New Roman" w:hAnsi="Times New Roman"/>
          <w:b w:val="0"/>
          <w:color w:val="auto"/>
          <w:sz w:val="20"/>
          <w:szCs w:val="20"/>
        </w:rPr>
        <w:t xml:space="preserve">/ с </w:t>
      </w:r>
      <w:proofErr w:type="spellStart"/>
      <w:r w:rsidRPr="00BA7402">
        <w:rPr>
          <w:rFonts w:ascii="Times New Roman" w:hAnsi="Times New Roman"/>
          <w:b w:val="0"/>
          <w:color w:val="auto"/>
          <w:sz w:val="20"/>
          <w:szCs w:val="20"/>
        </w:rPr>
        <w:t>номинална</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стойност</w:t>
      </w:r>
      <w:proofErr w:type="spellEnd"/>
      <w:r w:rsidRPr="00BA7402">
        <w:rPr>
          <w:rFonts w:ascii="Times New Roman" w:hAnsi="Times New Roman"/>
          <w:b w:val="0"/>
          <w:color w:val="auto"/>
          <w:sz w:val="20"/>
          <w:szCs w:val="20"/>
        </w:rPr>
        <w:t xml:space="preserve"> 1 /</w:t>
      </w:r>
      <w:proofErr w:type="spellStart"/>
      <w:r w:rsidRPr="00BA7402">
        <w:rPr>
          <w:rFonts w:ascii="Times New Roman" w:hAnsi="Times New Roman"/>
          <w:b w:val="0"/>
          <w:color w:val="auto"/>
          <w:sz w:val="20"/>
          <w:szCs w:val="20"/>
        </w:rPr>
        <w:t>един</w:t>
      </w:r>
      <w:proofErr w:type="spellEnd"/>
      <w:r w:rsidRPr="00BA7402">
        <w:rPr>
          <w:rFonts w:ascii="Times New Roman" w:hAnsi="Times New Roman"/>
          <w:b w:val="0"/>
          <w:color w:val="auto"/>
          <w:sz w:val="20"/>
          <w:szCs w:val="20"/>
        </w:rPr>
        <w:t xml:space="preserve">/ </w:t>
      </w:r>
      <w:proofErr w:type="spellStart"/>
      <w:r w:rsidRPr="00BA7402">
        <w:rPr>
          <w:rFonts w:ascii="Times New Roman" w:hAnsi="Times New Roman"/>
          <w:b w:val="0"/>
          <w:color w:val="auto"/>
          <w:sz w:val="20"/>
          <w:szCs w:val="20"/>
        </w:rPr>
        <w:t>лев</w:t>
      </w:r>
      <w:proofErr w:type="spellEnd"/>
      <w:r w:rsidRPr="00BA7402">
        <w:rPr>
          <w:rFonts w:ascii="Times New Roman" w:hAnsi="Times New Roman"/>
          <w:b w:val="0"/>
          <w:color w:val="auto"/>
          <w:sz w:val="20"/>
          <w:szCs w:val="20"/>
        </w:rPr>
        <w:t>.</w:t>
      </w:r>
    </w:p>
    <w:p w:rsidR="008E0881" w:rsidRPr="00BA7402" w:rsidRDefault="002863F2" w:rsidP="006C6E65">
      <w:pPr>
        <w:pStyle w:val="Heading2"/>
        <w:spacing w:before="240" w:after="120" w:line="260" w:lineRule="atLeast"/>
        <w:rPr>
          <w:rFonts w:ascii="Times New Roman" w:hAnsi="Times New Roman"/>
          <w:color w:val="auto"/>
          <w:sz w:val="20"/>
          <w:szCs w:val="20"/>
          <w:lang w:val="bg-BG"/>
        </w:rPr>
      </w:pPr>
      <w:bookmarkStart w:id="17" w:name="_Toc515965331"/>
      <w:r>
        <w:rPr>
          <w:rFonts w:ascii="Times New Roman" w:hAnsi="Times New Roman"/>
          <w:color w:val="auto"/>
          <w:sz w:val="20"/>
          <w:szCs w:val="20"/>
          <w:lang w:val="bg-BG"/>
        </w:rPr>
        <w:t>9</w:t>
      </w:r>
      <w:r w:rsidR="006C6E65">
        <w:rPr>
          <w:rFonts w:ascii="Times New Roman" w:hAnsi="Times New Roman"/>
          <w:color w:val="auto"/>
          <w:sz w:val="20"/>
          <w:szCs w:val="20"/>
          <w:lang w:val="bg-BG"/>
        </w:rPr>
        <w:t>.</w:t>
      </w:r>
      <w:r w:rsidR="008E0881" w:rsidRPr="00BA7402">
        <w:rPr>
          <w:rFonts w:ascii="Times New Roman" w:hAnsi="Times New Roman"/>
          <w:color w:val="auto"/>
          <w:sz w:val="20"/>
          <w:szCs w:val="20"/>
          <w:lang w:val="bg-BG"/>
        </w:rPr>
        <w:t>Търговски и други задължения</w:t>
      </w:r>
      <w:bookmarkEnd w:id="17"/>
      <w:r w:rsidR="008E0881" w:rsidRPr="00BA7402">
        <w:rPr>
          <w:rFonts w:ascii="Times New Roman" w:hAnsi="Times New Roman"/>
          <w:color w:val="auto"/>
          <w:sz w:val="20"/>
          <w:szCs w:val="20"/>
          <w:lang w:val="bg-BG"/>
        </w:rPr>
        <w:t xml:space="preserve"> </w:t>
      </w:r>
    </w:p>
    <w:p w:rsidR="008E0881" w:rsidRPr="00BA7402" w:rsidRDefault="008E0881" w:rsidP="008E0881">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Търговски задължения </w:t>
      </w:r>
    </w:p>
    <w:tbl>
      <w:tblPr>
        <w:tblW w:w="0" w:type="auto"/>
        <w:tblLook w:val="04A0" w:firstRow="1" w:lastRow="0" w:firstColumn="1" w:lastColumn="0" w:noHBand="0" w:noVBand="1"/>
      </w:tblPr>
      <w:tblGrid>
        <w:gridCol w:w="5215"/>
        <w:gridCol w:w="898"/>
        <w:gridCol w:w="1337"/>
        <w:gridCol w:w="1338"/>
      </w:tblGrid>
      <w:tr w:rsidR="008E0881" w:rsidRPr="00BA7402" w:rsidTr="00975B28">
        <w:tc>
          <w:tcPr>
            <w:tcW w:w="5215" w:type="dxa"/>
          </w:tcPr>
          <w:p w:rsidR="008E0881" w:rsidRPr="00BA7402" w:rsidRDefault="008E0881" w:rsidP="00975B28">
            <w:pPr>
              <w:pStyle w:val="Default"/>
              <w:spacing w:line="260" w:lineRule="atLeast"/>
              <w:jc w:val="both"/>
              <w:rPr>
                <w:rFonts w:ascii="Times New Roman" w:hAnsi="Times New Roman" w:cs="Times New Roman"/>
                <w:bCs/>
                <w:i/>
                <w:color w:val="auto"/>
                <w:sz w:val="20"/>
                <w:szCs w:val="20"/>
                <w:lang w:val="bg-BG"/>
              </w:rPr>
            </w:pPr>
            <w:r w:rsidRPr="00BA7402">
              <w:rPr>
                <w:rFonts w:ascii="Times New Roman" w:hAnsi="Times New Roman" w:cs="Times New Roman"/>
                <w:bCs/>
                <w:i/>
                <w:color w:val="auto"/>
                <w:sz w:val="20"/>
                <w:szCs w:val="20"/>
                <w:lang w:val="bg-BG"/>
              </w:rPr>
              <w:t>В хиляди лева</w:t>
            </w:r>
          </w:p>
        </w:tc>
        <w:tc>
          <w:tcPr>
            <w:tcW w:w="898" w:type="dxa"/>
          </w:tcPr>
          <w:p w:rsidR="008E0881" w:rsidRPr="00BA7402" w:rsidRDefault="008E0881" w:rsidP="00975B28">
            <w:pPr>
              <w:pStyle w:val="Default"/>
              <w:spacing w:line="260" w:lineRule="atLeast"/>
              <w:jc w:val="center"/>
              <w:rPr>
                <w:rFonts w:ascii="Times New Roman" w:hAnsi="Times New Roman" w:cs="Times New Roman"/>
                <w:b/>
                <w:bCs/>
                <w:i/>
                <w:color w:val="auto"/>
                <w:sz w:val="20"/>
                <w:szCs w:val="20"/>
                <w:lang w:val="bg-BG"/>
              </w:rPr>
            </w:pPr>
            <w:r w:rsidRPr="00BA7402">
              <w:rPr>
                <w:rFonts w:ascii="Times New Roman" w:hAnsi="Times New Roman" w:cs="Times New Roman"/>
                <w:b/>
                <w:bCs/>
                <w:i/>
                <w:color w:val="auto"/>
                <w:sz w:val="20"/>
                <w:szCs w:val="20"/>
                <w:lang w:val="bg-BG"/>
              </w:rPr>
              <w:t>Бел.</w:t>
            </w:r>
          </w:p>
        </w:tc>
        <w:tc>
          <w:tcPr>
            <w:tcW w:w="1337" w:type="dxa"/>
            <w:shd w:val="clear" w:color="auto" w:fill="F2F2F2"/>
          </w:tcPr>
          <w:p w:rsidR="008E0881" w:rsidRPr="00BA7402" w:rsidRDefault="008E0881" w:rsidP="006047BA">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rPr>
              <w:t>201</w:t>
            </w:r>
            <w:r w:rsidR="006047BA" w:rsidRPr="00BA7402">
              <w:rPr>
                <w:rFonts w:ascii="Times New Roman" w:hAnsi="Times New Roman" w:cs="Times New Roman"/>
                <w:b/>
                <w:bCs/>
                <w:color w:val="auto"/>
                <w:sz w:val="20"/>
                <w:szCs w:val="20"/>
                <w:lang w:val="bg-BG"/>
              </w:rPr>
              <w:t>9</w:t>
            </w:r>
          </w:p>
        </w:tc>
        <w:tc>
          <w:tcPr>
            <w:tcW w:w="1338" w:type="dxa"/>
          </w:tcPr>
          <w:p w:rsidR="008E0881" w:rsidRPr="00BA7402" w:rsidRDefault="008E0881" w:rsidP="006047BA">
            <w:pPr>
              <w:pStyle w:val="Default"/>
              <w:spacing w:line="260" w:lineRule="atLeast"/>
              <w:jc w:val="right"/>
              <w:rPr>
                <w:rFonts w:ascii="Times New Roman" w:hAnsi="Times New Roman" w:cs="Times New Roman"/>
                <w:b/>
                <w:bCs/>
                <w:color w:val="auto"/>
                <w:sz w:val="20"/>
                <w:szCs w:val="20"/>
              </w:rPr>
            </w:pPr>
            <w:r w:rsidRPr="00BA7402">
              <w:rPr>
                <w:rFonts w:ascii="Times New Roman" w:hAnsi="Times New Roman" w:cs="Times New Roman"/>
                <w:b/>
                <w:bCs/>
                <w:color w:val="auto"/>
                <w:sz w:val="20"/>
                <w:szCs w:val="20"/>
              </w:rPr>
              <w:t>201</w:t>
            </w:r>
            <w:r w:rsidR="006047BA" w:rsidRPr="00BA7402">
              <w:rPr>
                <w:rFonts w:ascii="Times New Roman" w:hAnsi="Times New Roman" w:cs="Times New Roman"/>
                <w:b/>
                <w:bCs/>
                <w:color w:val="auto"/>
                <w:sz w:val="20"/>
                <w:szCs w:val="20"/>
                <w:lang w:val="bg-BG"/>
              </w:rPr>
              <w:t>8</w:t>
            </w:r>
          </w:p>
        </w:tc>
      </w:tr>
      <w:tr w:rsidR="008E0881" w:rsidRPr="00BA7402" w:rsidTr="00975B28">
        <w:tc>
          <w:tcPr>
            <w:tcW w:w="5215" w:type="dxa"/>
            <w:vAlign w:val="bottom"/>
          </w:tcPr>
          <w:p w:rsidR="008E0881" w:rsidRPr="00BA7402" w:rsidRDefault="008E0881" w:rsidP="00975B28">
            <w:pPr>
              <w:pStyle w:val="Default"/>
              <w:spacing w:line="260" w:lineRule="atLeast"/>
              <w:jc w:val="both"/>
              <w:rPr>
                <w:rFonts w:ascii="Times New Roman" w:hAnsi="Times New Roman" w:cs="Times New Roman"/>
                <w:bCs/>
                <w:color w:val="auto"/>
                <w:sz w:val="20"/>
                <w:szCs w:val="20"/>
                <w:lang w:val="bg-BG"/>
              </w:rPr>
            </w:pPr>
          </w:p>
        </w:tc>
        <w:tc>
          <w:tcPr>
            <w:tcW w:w="898" w:type="dxa"/>
            <w:vAlign w:val="bottom"/>
          </w:tcPr>
          <w:p w:rsidR="008E0881" w:rsidRPr="00BA7402" w:rsidRDefault="008E0881" w:rsidP="00975B28">
            <w:pPr>
              <w:pStyle w:val="Default"/>
              <w:spacing w:line="260" w:lineRule="atLeast"/>
              <w:jc w:val="center"/>
              <w:rPr>
                <w:rFonts w:ascii="Times New Roman" w:hAnsi="Times New Roman" w:cs="Times New Roman"/>
                <w:bCs/>
                <w:i/>
                <w:color w:val="auto"/>
                <w:sz w:val="20"/>
                <w:szCs w:val="20"/>
                <w:lang w:val="bg-BG"/>
              </w:rPr>
            </w:pPr>
          </w:p>
        </w:tc>
        <w:tc>
          <w:tcPr>
            <w:tcW w:w="1337" w:type="dxa"/>
            <w:shd w:val="clear" w:color="auto" w:fill="F2F2F2"/>
            <w:vAlign w:val="bottom"/>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c>
          <w:tcPr>
            <w:tcW w:w="1338" w:type="dxa"/>
            <w:vAlign w:val="bottom"/>
          </w:tcPr>
          <w:p w:rsidR="008E0881" w:rsidRPr="00BA7402" w:rsidRDefault="008E0881" w:rsidP="00975B28">
            <w:pPr>
              <w:pStyle w:val="Default"/>
              <w:spacing w:line="260" w:lineRule="atLeast"/>
              <w:jc w:val="right"/>
              <w:rPr>
                <w:rFonts w:ascii="Times New Roman" w:hAnsi="Times New Roman" w:cs="Times New Roman"/>
                <w:bCs/>
                <w:color w:val="auto"/>
                <w:sz w:val="20"/>
                <w:szCs w:val="20"/>
                <w:lang w:val="bg-BG"/>
              </w:rPr>
            </w:pPr>
          </w:p>
        </w:tc>
      </w:tr>
      <w:tr w:rsidR="00337711" w:rsidRPr="00BA7402" w:rsidTr="00975B28">
        <w:tc>
          <w:tcPr>
            <w:tcW w:w="5215" w:type="dxa"/>
            <w:vAlign w:val="bottom"/>
          </w:tcPr>
          <w:p w:rsidR="00337711" w:rsidRPr="00BA7402" w:rsidRDefault="001A0B19" w:rsidP="00975B28">
            <w:pPr>
              <w:pStyle w:val="Default"/>
              <w:spacing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Задължения към ТК-Холд по получени заеми</w:t>
            </w:r>
          </w:p>
        </w:tc>
        <w:tc>
          <w:tcPr>
            <w:tcW w:w="898" w:type="dxa"/>
            <w:vAlign w:val="bottom"/>
          </w:tcPr>
          <w:p w:rsidR="00337711" w:rsidRPr="00BA7402" w:rsidRDefault="00337711" w:rsidP="00975B28">
            <w:pPr>
              <w:pStyle w:val="Default"/>
              <w:spacing w:line="260" w:lineRule="atLeast"/>
              <w:jc w:val="center"/>
              <w:rPr>
                <w:rFonts w:ascii="Times New Roman" w:hAnsi="Times New Roman" w:cs="Times New Roman"/>
                <w:bCs/>
                <w:i/>
                <w:color w:val="auto"/>
                <w:sz w:val="20"/>
                <w:szCs w:val="20"/>
                <w:lang w:val="bg-BG"/>
              </w:rPr>
            </w:pPr>
          </w:p>
        </w:tc>
        <w:tc>
          <w:tcPr>
            <w:tcW w:w="1337" w:type="dxa"/>
            <w:shd w:val="clear" w:color="auto" w:fill="F2F2F2"/>
            <w:vAlign w:val="bottom"/>
          </w:tcPr>
          <w:p w:rsidR="00337711" w:rsidRPr="00BA7402" w:rsidRDefault="006047BA"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39</w:t>
            </w:r>
            <w:r w:rsidR="001A0B19" w:rsidRPr="00BA7402">
              <w:rPr>
                <w:rFonts w:ascii="Times New Roman" w:hAnsi="Times New Roman" w:cs="Times New Roman"/>
                <w:bCs/>
                <w:color w:val="auto"/>
                <w:sz w:val="20"/>
                <w:szCs w:val="20"/>
                <w:lang w:val="bg-BG"/>
              </w:rPr>
              <w:t>2</w:t>
            </w:r>
          </w:p>
        </w:tc>
        <w:tc>
          <w:tcPr>
            <w:tcW w:w="1338" w:type="dxa"/>
            <w:vAlign w:val="bottom"/>
          </w:tcPr>
          <w:p w:rsidR="00337711" w:rsidRPr="00BA7402" w:rsidRDefault="001A0B19"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3</w:t>
            </w:r>
            <w:r w:rsidR="006047BA" w:rsidRPr="00BA7402">
              <w:rPr>
                <w:rFonts w:ascii="Times New Roman" w:hAnsi="Times New Roman" w:cs="Times New Roman"/>
                <w:bCs/>
                <w:color w:val="auto"/>
                <w:sz w:val="20"/>
                <w:szCs w:val="20"/>
                <w:lang w:val="bg-BG"/>
              </w:rPr>
              <w:t>82</w:t>
            </w:r>
          </w:p>
        </w:tc>
      </w:tr>
      <w:tr w:rsidR="003A5FE6" w:rsidRPr="00BA7402" w:rsidTr="00975B28">
        <w:tc>
          <w:tcPr>
            <w:tcW w:w="5215" w:type="dxa"/>
            <w:vAlign w:val="bottom"/>
          </w:tcPr>
          <w:p w:rsidR="003A5FE6" w:rsidRPr="00BA7402" w:rsidRDefault="003A5FE6" w:rsidP="00975B28">
            <w:pPr>
              <w:pStyle w:val="Default"/>
              <w:spacing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Задължения към общините</w:t>
            </w:r>
          </w:p>
        </w:tc>
        <w:tc>
          <w:tcPr>
            <w:tcW w:w="898" w:type="dxa"/>
            <w:vAlign w:val="bottom"/>
          </w:tcPr>
          <w:p w:rsidR="003A5FE6" w:rsidRPr="00BA7402" w:rsidRDefault="003A5FE6" w:rsidP="00975B28">
            <w:pPr>
              <w:pStyle w:val="Default"/>
              <w:spacing w:line="260" w:lineRule="atLeast"/>
              <w:jc w:val="center"/>
              <w:rPr>
                <w:rFonts w:ascii="Times New Roman" w:hAnsi="Times New Roman" w:cs="Times New Roman"/>
                <w:bCs/>
                <w:i/>
                <w:color w:val="auto"/>
                <w:sz w:val="20"/>
                <w:szCs w:val="20"/>
                <w:lang w:val="bg-BG"/>
              </w:rPr>
            </w:pPr>
          </w:p>
        </w:tc>
        <w:tc>
          <w:tcPr>
            <w:tcW w:w="1337" w:type="dxa"/>
            <w:shd w:val="clear" w:color="auto" w:fill="F2F2F2"/>
            <w:vAlign w:val="bottom"/>
          </w:tcPr>
          <w:p w:rsidR="003A5FE6" w:rsidRPr="00BA7402" w:rsidRDefault="003A5FE6"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26</w:t>
            </w:r>
          </w:p>
        </w:tc>
        <w:tc>
          <w:tcPr>
            <w:tcW w:w="1338" w:type="dxa"/>
            <w:vAlign w:val="bottom"/>
          </w:tcPr>
          <w:p w:rsidR="003A5FE6" w:rsidRPr="00BA7402" w:rsidRDefault="003A5FE6" w:rsidP="006047BA">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22</w:t>
            </w:r>
          </w:p>
        </w:tc>
      </w:tr>
      <w:tr w:rsidR="008E0881" w:rsidRPr="00BA7402" w:rsidTr="00975B28">
        <w:tc>
          <w:tcPr>
            <w:tcW w:w="5215" w:type="dxa"/>
            <w:vAlign w:val="bottom"/>
          </w:tcPr>
          <w:p w:rsidR="008E0881" w:rsidRPr="00BA7402" w:rsidRDefault="00395F73" w:rsidP="003A5FE6">
            <w:pPr>
              <w:pStyle w:val="Style56"/>
              <w:widowControl/>
              <w:spacing w:line="240" w:lineRule="auto"/>
              <w:rPr>
                <w:rStyle w:val="FontStyle156"/>
                <w:rFonts w:ascii="Times New Roman" w:hAnsi="Times New Roman" w:cs="Times New Roman"/>
                <w:sz w:val="20"/>
                <w:szCs w:val="20"/>
                <w:lang w:val="bg-BG"/>
              </w:rPr>
            </w:pPr>
            <w:r w:rsidRPr="00BA7402">
              <w:rPr>
                <w:rStyle w:val="FontStyle156"/>
                <w:rFonts w:ascii="Times New Roman" w:hAnsi="Times New Roman" w:cs="Times New Roman"/>
                <w:sz w:val="20"/>
                <w:szCs w:val="20"/>
                <w:lang w:val="bg-BG"/>
              </w:rPr>
              <w:t>За</w:t>
            </w:r>
            <w:r w:rsidR="005E5221" w:rsidRPr="00BA7402">
              <w:rPr>
                <w:rStyle w:val="FontStyle156"/>
                <w:rFonts w:ascii="Times New Roman" w:hAnsi="Times New Roman" w:cs="Times New Roman"/>
                <w:sz w:val="20"/>
                <w:szCs w:val="20"/>
                <w:lang w:val="bg-BG"/>
              </w:rPr>
              <w:t>дълже</w:t>
            </w:r>
            <w:r w:rsidRPr="00BA7402">
              <w:rPr>
                <w:rStyle w:val="FontStyle156"/>
                <w:rFonts w:ascii="Times New Roman" w:hAnsi="Times New Roman" w:cs="Times New Roman"/>
                <w:sz w:val="20"/>
                <w:szCs w:val="20"/>
                <w:lang w:val="bg-BG"/>
              </w:rPr>
              <w:t xml:space="preserve">ния </w:t>
            </w:r>
            <w:r w:rsidR="003A5FE6" w:rsidRPr="00BA7402">
              <w:rPr>
                <w:rStyle w:val="FontStyle156"/>
                <w:rFonts w:ascii="Times New Roman" w:hAnsi="Times New Roman" w:cs="Times New Roman"/>
                <w:sz w:val="20"/>
                <w:szCs w:val="20"/>
                <w:lang w:val="bg-BG"/>
              </w:rPr>
              <w:t>към други кредитори</w:t>
            </w:r>
          </w:p>
        </w:tc>
        <w:tc>
          <w:tcPr>
            <w:tcW w:w="898" w:type="dxa"/>
            <w:vAlign w:val="bottom"/>
          </w:tcPr>
          <w:p w:rsidR="008E0881" w:rsidRPr="00BA7402" w:rsidRDefault="008E0881" w:rsidP="00975B28">
            <w:pPr>
              <w:pStyle w:val="Default"/>
              <w:spacing w:line="260" w:lineRule="atLeast"/>
              <w:jc w:val="center"/>
              <w:rPr>
                <w:rFonts w:ascii="Times New Roman" w:hAnsi="Times New Roman" w:cs="Times New Roman"/>
                <w:bCs/>
                <w:i/>
                <w:color w:val="auto"/>
                <w:sz w:val="20"/>
                <w:szCs w:val="20"/>
                <w:lang w:val="bg-BG"/>
              </w:rPr>
            </w:pPr>
          </w:p>
        </w:tc>
        <w:tc>
          <w:tcPr>
            <w:tcW w:w="1337" w:type="dxa"/>
            <w:shd w:val="clear" w:color="auto" w:fill="F2F2F2"/>
            <w:vAlign w:val="bottom"/>
          </w:tcPr>
          <w:p w:rsidR="008E0881" w:rsidRPr="00BA7402" w:rsidRDefault="003A5FE6" w:rsidP="003A5FE6">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13</w:t>
            </w:r>
          </w:p>
        </w:tc>
        <w:tc>
          <w:tcPr>
            <w:tcW w:w="1338" w:type="dxa"/>
            <w:vAlign w:val="bottom"/>
          </w:tcPr>
          <w:p w:rsidR="008E0881" w:rsidRPr="00BA7402" w:rsidRDefault="003A5FE6" w:rsidP="003A5FE6">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9</w:t>
            </w:r>
          </w:p>
        </w:tc>
      </w:tr>
      <w:tr w:rsidR="008E0881" w:rsidRPr="00BA7402" w:rsidTr="00975B28">
        <w:tc>
          <w:tcPr>
            <w:tcW w:w="5215" w:type="dxa"/>
            <w:vAlign w:val="bottom"/>
          </w:tcPr>
          <w:p w:rsidR="008E0881" w:rsidRPr="00BA7402" w:rsidRDefault="008E0881" w:rsidP="00975B28">
            <w:pPr>
              <w:pStyle w:val="Default"/>
              <w:spacing w:line="260" w:lineRule="atLeast"/>
              <w:rPr>
                <w:rFonts w:ascii="Times New Roman" w:hAnsi="Times New Roman" w:cs="Times New Roman"/>
                <w:b/>
                <w:bCs/>
                <w:color w:val="auto"/>
                <w:sz w:val="20"/>
                <w:szCs w:val="20"/>
                <w:lang w:val="bg-BG"/>
              </w:rPr>
            </w:pPr>
          </w:p>
        </w:tc>
        <w:tc>
          <w:tcPr>
            <w:tcW w:w="898" w:type="dxa"/>
            <w:vAlign w:val="bottom"/>
          </w:tcPr>
          <w:p w:rsidR="008E0881" w:rsidRPr="00BA7402" w:rsidRDefault="008E0881" w:rsidP="00975B28">
            <w:pPr>
              <w:pStyle w:val="Default"/>
              <w:spacing w:line="260" w:lineRule="atLeast"/>
              <w:jc w:val="center"/>
              <w:rPr>
                <w:rFonts w:ascii="Times New Roman" w:hAnsi="Times New Roman" w:cs="Times New Roman"/>
                <w:b/>
                <w:bCs/>
                <w:i/>
                <w:color w:val="auto"/>
                <w:sz w:val="20"/>
                <w:szCs w:val="20"/>
                <w:lang w:val="bg-BG"/>
              </w:rPr>
            </w:pPr>
          </w:p>
        </w:tc>
        <w:tc>
          <w:tcPr>
            <w:tcW w:w="1337" w:type="dxa"/>
            <w:tcBorders>
              <w:top w:val="single" w:sz="4" w:space="0" w:color="auto"/>
              <w:bottom w:val="single" w:sz="4" w:space="0" w:color="auto"/>
            </w:tcBorders>
            <w:shd w:val="clear" w:color="auto" w:fill="F2F2F2"/>
            <w:vAlign w:val="bottom"/>
          </w:tcPr>
          <w:p w:rsidR="008E0881" w:rsidRPr="00BA7402" w:rsidRDefault="003A5FE6" w:rsidP="003A5FE6">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43</w:t>
            </w:r>
            <w:r w:rsidR="005E5221" w:rsidRPr="00BA7402">
              <w:rPr>
                <w:rFonts w:ascii="Times New Roman" w:hAnsi="Times New Roman" w:cs="Times New Roman"/>
                <w:bCs/>
                <w:color w:val="auto"/>
                <w:sz w:val="20"/>
                <w:szCs w:val="20"/>
                <w:lang w:val="bg-BG"/>
              </w:rPr>
              <w:t>1</w:t>
            </w:r>
          </w:p>
        </w:tc>
        <w:tc>
          <w:tcPr>
            <w:tcW w:w="1338" w:type="dxa"/>
            <w:tcBorders>
              <w:top w:val="single" w:sz="4" w:space="0" w:color="auto"/>
              <w:bottom w:val="single" w:sz="4" w:space="0" w:color="auto"/>
            </w:tcBorders>
            <w:vAlign w:val="bottom"/>
          </w:tcPr>
          <w:p w:rsidR="008E0881" w:rsidRPr="00BA7402" w:rsidRDefault="005E5221" w:rsidP="003A5FE6">
            <w:pPr>
              <w:pStyle w:val="Default"/>
              <w:spacing w:line="260" w:lineRule="atLeast"/>
              <w:jc w:val="righ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4</w:t>
            </w:r>
            <w:r w:rsidR="003A5FE6" w:rsidRPr="00BA7402">
              <w:rPr>
                <w:rFonts w:ascii="Times New Roman" w:hAnsi="Times New Roman" w:cs="Times New Roman"/>
                <w:bCs/>
                <w:color w:val="auto"/>
                <w:sz w:val="20"/>
                <w:szCs w:val="20"/>
                <w:lang w:val="bg-BG"/>
              </w:rPr>
              <w:t>13</w:t>
            </w:r>
          </w:p>
        </w:tc>
      </w:tr>
    </w:tbl>
    <w:p w:rsidR="008E0881" w:rsidRPr="00BA7402" w:rsidRDefault="006C6E65" w:rsidP="006C6E65">
      <w:pPr>
        <w:pStyle w:val="Heading2"/>
        <w:spacing w:before="240" w:after="120" w:line="260" w:lineRule="atLeast"/>
        <w:rPr>
          <w:rFonts w:ascii="Times New Roman" w:hAnsi="Times New Roman"/>
          <w:color w:val="auto"/>
          <w:sz w:val="20"/>
          <w:szCs w:val="20"/>
          <w:lang w:val="bg-BG"/>
        </w:rPr>
      </w:pPr>
      <w:bookmarkStart w:id="18" w:name="_Toc515965332"/>
      <w:bookmarkStart w:id="19" w:name="_Toc476853544"/>
      <w:r>
        <w:rPr>
          <w:rFonts w:ascii="Times New Roman" w:hAnsi="Times New Roman"/>
          <w:color w:val="auto"/>
          <w:sz w:val="20"/>
          <w:szCs w:val="20"/>
          <w:lang w:val="bg-BG"/>
        </w:rPr>
        <w:t>1</w:t>
      </w:r>
      <w:r w:rsidR="000D322C">
        <w:rPr>
          <w:rFonts w:ascii="Times New Roman" w:hAnsi="Times New Roman"/>
          <w:color w:val="auto"/>
          <w:sz w:val="20"/>
          <w:szCs w:val="20"/>
          <w:lang w:val="bg-BG"/>
        </w:rPr>
        <w:t>0</w:t>
      </w:r>
      <w:r>
        <w:rPr>
          <w:rFonts w:ascii="Times New Roman" w:hAnsi="Times New Roman"/>
          <w:color w:val="auto"/>
          <w:sz w:val="20"/>
          <w:szCs w:val="20"/>
          <w:lang w:val="bg-BG"/>
        </w:rPr>
        <w:t>.</w:t>
      </w:r>
      <w:r w:rsidR="008E0881" w:rsidRPr="00BA7402">
        <w:rPr>
          <w:rFonts w:ascii="Times New Roman" w:hAnsi="Times New Roman"/>
          <w:color w:val="auto"/>
          <w:sz w:val="20"/>
          <w:szCs w:val="20"/>
          <w:lang w:val="bg-BG"/>
        </w:rPr>
        <w:t>Финансови инст</w:t>
      </w:r>
      <w:r w:rsidR="002A5196">
        <w:rPr>
          <w:rFonts w:ascii="Times New Roman" w:hAnsi="Times New Roman"/>
          <w:color w:val="auto"/>
          <w:sz w:val="20"/>
          <w:szCs w:val="20"/>
          <w:lang w:val="bg-BG"/>
        </w:rPr>
        <w:t>р</w:t>
      </w:r>
      <w:r w:rsidR="008E0881" w:rsidRPr="00BA7402">
        <w:rPr>
          <w:rFonts w:ascii="Times New Roman" w:hAnsi="Times New Roman"/>
          <w:color w:val="auto"/>
          <w:sz w:val="20"/>
          <w:szCs w:val="20"/>
          <w:lang w:val="bg-BG"/>
        </w:rPr>
        <w:t>ументи</w:t>
      </w:r>
      <w:bookmarkEnd w:id="18"/>
      <w:r w:rsidR="008E0881" w:rsidRPr="00BA7402">
        <w:rPr>
          <w:rFonts w:ascii="Times New Roman" w:hAnsi="Times New Roman"/>
          <w:color w:val="auto"/>
          <w:sz w:val="20"/>
          <w:szCs w:val="20"/>
          <w:lang w:val="bg-BG"/>
        </w:rPr>
        <w:t xml:space="preserve"> </w:t>
      </w:r>
      <w:bookmarkEnd w:id="19"/>
    </w:p>
    <w:p w:rsidR="008E0881" w:rsidRPr="00BA7402" w:rsidRDefault="008E0881" w:rsidP="008E0881">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(а) Управление на финансовия риск</w:t>
      </w:r>
    </w:p>
    <w:p w:rsidR="008E0881" w:rsidRPr="00BA7402" w:rsidRDefault="008E0881" w:rsidP="008E0881">
      <w:pPr>
        <w:pStyle w:val="CM19"/>
        <w:rPr>
          <w:rFonts w:ascii="Times New Roman" w:hAnsi="Times New Roman"/>
          <w:iCs/>
          <w:sz w:val="20"/>
          <w:szCs w:val="20"/>
          <w:lang w:val="bg-BG"/>
        </w:rPr>
      </w:pPr>
      <w:r w:rsidRPr="00BA7402">
        <w:rPr>
          <w:rFonts w:ascii="Times New Roman" w:hAnsi="Times New Roman"/>
          <w:iCs/>
          <w:sz w:val="20"/>
          <w:szCs w:val="20"/>
          <w:lang w:val="bg-BG"/>
        </w:rPr>
        <w:t>Дружеството има експозиция към следните рискове от употребата на финансови инструменти:</w:t>
      </w:r>
    </w:p>
    <w:p w:rsidR="008E0881" w:rsidRPr="00BA7402" w:rsidRDefault="008E0881" w:rsidP="008E0881">
      <w:pPr>
        <w:pStyle w:val="CM19"/>
        <w:numPr>
          <w:ilvl w:val="0"/>
          <w:numId w:val="1"/>
        </w:numPr>
        <w:rPr>
          <w:rFonts w:ascii="Times New Roman" w:hAnsi="Times New Roman"/>
          <w:sz w:val="20"/>
          <w:szCs w:val="20"/>
          <w:lang w:val="bg-BG"/>
        </w:rPr>
      </w:pPr>
      <w:r w:rsidRPr="00BA7402">
        <w:rPr>
          <w:rFonts w:ascii="Times New Roman" w:hAnsi="Times New Roman"/>
          <w:sz w:val="20"/>
          <w:szCs w:val="20"/>
          <w:lang w:val="bg-BG"/>
        </w:rPr>
        <w:t>кредитен риск;</w:t>
      </w:r>
    </w:p>
    <w:p w:rsidR="008E0881" w:rsidRPr="00BA7402" w:rsidRDefault="008E0881" w:rsidP="008E0881">
      <w:pPr>
        <w:pStyle w:val="CM19"/>
        <w:numPr>
          <w:ilvl w:val="0"/>
          <w:numId w:val="1"/>
        </w:numPr>
        <w:rPr>
          <w:rFonts w:ascii="Times New Roman" w:hAnsi="Times New Roman"/>
          <w:sz w:val="20"/>
          <w:szCs w:val="20"/>
          <w:lang w:val="bg-BG"/>
        </w:rPr>
      </w:pPr>
      <w:r w:rsidRPr="00BA7402">
        <w:rPr>
          <w:rFonts w:ascii="Times New Roman" w:hAnsi="Times New Roman"/>
          <w:sz w:val="20"/>
          <w:szCs w:val="20"/>
          <w:lang w:val="bg-BG"/>
        </w:rPr>
        <w:t>ликвиден риск;</w:t>
      </w:r>
    </w:p>
    <w:p w:rsidR="008E0881" w:rsidRPr="00BA7402" w:rsidRDefault="008E0881" w:rsidP="008E0881">
      <w:pPr>
        <w:pStyle w:val="CM19"/>
        <w:numPr>
          <w:ilvl w:val="0"/>
          <w:numId w:val="1"/>
        </w:numPr>
        <w:rPr>
          <w:rFonts w:ascii="Times New Roman" w:hAnsi="Times New Roman"/>
          <w:sz w:val="20"/>
          <w:szCs w:val="20"/>
          <w:lang w:val="bg-BG"/>
        </w:rPr>
      </w:pPr>
      <w:r w:rsidRPr="00BA7402">
        <w:rPr>
          <w:rFonts w:ascii="Times New Roman" w:hAnsi="Times New Roman"/>
          <w:sz w:val="20"/>
          <w:szCs w:val="20"/>
          <w:lang w:val="bg-BG"/>
        </w:rPr>
        <w:t>пазарен риск.</w:t>
      </w:r>
    </w:p>
    <w:p w:rsidR="008E0881" w:rsidRPr="00BA7402" w:rsidRDefault="008E0881" w:rsidP="008E0881">
      <w:pPr>
        <w:pStyle w:val="Heading3"/>
        <w:spacing w:after="120" w:line="260" w:lineRule="atLeast"/>
        <w:rPr>
          <w:rFonts w:ascii="Times New Roman" w:hAnsi="Times New Roman"/>
          <w:i/>
          <w:color w:val="auto"/>
          <w:sz w:val="20"/>
          <w:szCs w:val="20"/>
          <w:lang w:val="bg-BG"/>
        </w:rPr>
      </w:pPr>
      <w:r w:rsidRPr="00BA7402">
        <w:rPr>
          <w:rFonts w:ascii="Times New Roman" w:hAnsi="Times New Roman"/>
          <w:i/>
          <w:color w:val="auto"/>
          <w:sz w:val="20"/>
          <w:szCs w:val="20"/>
          <w:lang w:val="bg-BG"/>
        </w:rPr>
        <w:lastRenderedPageBreak/>
        <w:t>(</w:t>
      </w:r>
      <w:r w:rsidR="006C6E65">
        <w:rPr>
          <w:rFonts w:ascii="Times New Roman" w:hAnsi="Times New Roman"/>
          <w:i/>
          <w:color w:val="auto"/>
          <w:sz w:val="20"/>
          <w:szCs w:val="20"/>
          <w:lang w:val="bg-BG"/>
        </w:rPr>
        <w:t>б</w:t>
      </w:r>
      <w:r w:rsidRPr="00BA7402">
        <w:rPr>
          <w:rFonts w:ascii="Times New Roman" w:hAnsi="Times New Roman"/>
          <w:i/>
          <w:color w:val="auto"/>
          <w:sz w:val="20"/>
          <w:szCs w:val="20"/>
          <w:lang w:val="bg-BG"/>
        </w:rPr>
        <w:t>) Общи положения за управление на риска</w:t>
      </w:r>
    </w:p>
    <w:p w:rsidR="008E0881" w:rsidRPr="00BA7402" w:rsidRDefault="008E0881" w:rsidP="008E0881">
      <w:pPr>
        <w:spacing w:before="120" w:after="120"/>
        <w:jc w:val="both"/>
        <w:rPr>
          <w:rFonts w:ascii="Times New Roman" w:hAnsi="Times New Roman"/>
          <w:color w:val="000000"/>
          <w:sz w:val="20"/>
          <w:szCs w:val="20"/>
          <w:lang w:val="bg-BG"/>
        </w:rPr>
      </w:pPr>
      <w:r w:rsidRPr="00BA7402">
        <w:rPr>
          <w:rFonts w:ascii="Times New Roman" w:hAnsi="Times New Roman"/>
          <w:sz w:val="20"/>
          <w:szCs w:val="20"/>
          <w:lang w:val="bg-BG"/>
        </w:rPr>
        <w:t xml:space="preserve">Съветът на директорите носи отговорността за установяване и управление на рисковете, с които се сблъсква Дружеството. </w:t>
      </w:r>
    </w:p>
    <w:p w:rsidR="008E0881" w:rsidRPr="00BA7402" w:rsidRDefault="008E0881" w:rsidP="008E0881">
      <w:pPr>
        <w:spacing w:before="120" w:after="120"/>
        <w:jc w:val="both"/>
        <w:rPr>
          <w:rFonts w:ascii="Times New Roman" w:hAnsi="Times New Roman"/>
          <w:sz w:val="20"/>
          <w:szCs w:val="20"/>
          <w:lang w:val="bg-BG"/>
        </w:rPr>
      </w:pPr>
      <w:r w:rsidRPr="00BA7402">
        <w:rPr>
          <w:rFonts w:ascii="Times New Roman" w:hAnsi="Times New Roman"/>
          <w:color w:val="000000"/>
          <w:sz w:val="20"/>
          <w:szCs w:val="20"/>
          <w:lang w:val="bg-BG"/>
        </w:rPr>
        <w:t>Политиката на Дружеството за управление на риска е развита така, че да идентифицира и анализира рисковете, с които се сблъсква Д</w:t>
      </w:r>
      <w:r w:rsidRPr="00BA7402">
        <w:rPr>
          <w:rFonts w:ascii="Times New Roman" w:hAnsi="Times New Roman"/>
          <w:sz w:val="20"/>
          <w:szCs w:val="20"/>
          <w:lang w:val="bg-BG"/>
        </w:rPr>
        <w:t>ружеството, да установява лимити за поемане на рискове и контроли, да наблюдава рисковете и съответствието с установените лимити. Тези политики подлежат на периодична проверка с цел отразяване на настъпили изменения в пазарните условия и в дейността на Дружеството. Дружеството, чрез своите стандарти и процедури за обучение и управление, цели да развие конструктивна контролна среда, в която всички служители разбират своята роля и задължения.</w:t>
      </w:r>
    </w:p>
    <w:p w:rsidR="008E0881" w:rsidRPr="00BA7402" w:rsidRDefault="008E0881" w:rsidP="008E0881">
      <w:pPr>
        <w:pStyle w:val="Heading3"/>
        <w:spacing w:after="120" w:line="260" w:lineRule="atLeast"/>
        <w:jc w:val="both"/>
        <w:rPr>
          <w:rFonts w:ascii="Times New Roman" w:hAnsi="Times New Roman"/>
          <w:i/>
          <w:color w:val="auto"/>
          <w:sz w:val="20"/>
          <w:szCs w:val="20"/>
          <w:lang w:val="bg-BG"/>
        </w:rPr>
      </w:pPr>
      <w:r w:rsidRPr="00BA7402">
        <w:rPr>
          <w:rFonts w:ascii="Times New Roman" w:hAnsi="Times New Roman"/>
          <w:i/>
          <w:color w:val="auto"/>
          <w:sz w:val="20"/>
          <w:szCs w:val="20"/>
          <w:lang w:val="bg-BG"/>
        </w:rPr>
        <w:t>(</w:t>
      </w:r>
      <w:r w:rsidR="006C6E65">
        <w:rPr>
          <w:rFonts w:ascii="Times New Roman" w:hAnsi="Times New Roman"/>
          <w:i/>
          <w:color w:val="auto"/>
          <w:sz w:val="20"/>
          <w:szCs w:val="20"/>
          <w:lang w:val="bg-BG"/>
        </w:rPr>
        <w:t>в</w:t>
      </w:r>
      <w:r w:rsidRPr="00BA7402">
        <w:rPr>
          <w:rFonts w:ascii="Times New Roman" w:hAnsi="Times New Roman"/>
          <w:i/>
          <w:color w:val="auto"/>
          <w:sz w:val="20"/>
          <w:szCs w:val="20"/>
          <w:lang w:val="bg-BG"/>
        </w:rPr>
        <w:t>)  Кредитен риск</w:t>
      </w:r>
    </w:p>
    <w:p w:rsidR="008E0881" w:rsidRPr="00BA7402" w:rsidRDefault="008E0881" w:rsidP="008E0881">
      <w:pPr>
        <w:spacing w:after="120"/>
        <w:jc w:val="both"/>
        <w:rPr>
          <w:rFonts w:ascii="Times New Roman" w:hAnsi="Times New Roman"/>
          <w:sz w:val="20"/>
          <w:szCs w:val="20"/>
          <w:lang w:val="bg-BG"/>
        </w:rPr>
      </w:pPr>
      <w:r w:rsidRPr="00BA7402">
        <w:rPr>
          <w:rFonts w:ascii="Times New Roman" w:hAnsi="Times New Roman"/>
          <w:iCs/>
          <w:sz w:val="20"/>
          <w:szCs w:val="20"/>
          <w:lang w:val="bg-BG"/>
        </w:rPr>
        <w:t>Кредитният риск за Дружеството се състои от риск от финансова загуба ако клиент или страна по финансов инструмент не успее да изпълни своите договорни задължения. Кредитният риск произтича основно от вземания от клиенти и инвестиции в дългови ценни книжа</w:t>
      </w:r>
      <w:r w:rsidRPr="00BA7402">
        <w:rPr>
          <w:rFonts w:ascii="Times New Roman" w:hAnsi="Times New Roman"/>
          <w:sz w:val="20"/>
          <w:szCs w:val="20"/>
          <w:lang w:val="bg-BG"/>
        </w:rPr>
        <w:t>.</w:t>
      </w:r>
    </w:p>
    <w:p w:rsidR="008E0881" w:rsidRPr="00BA7402" w:rsidRDefault="008E0881" w:rsidP="008E0881">
      <w:pPr>
        <w:pStyle w:val="CM10"/>
        <w:jc w:val="both"/>
        <w:rPr>
          <w:color w:val="auto"/>
          <w:lang w:val="bg-BG"/>
        </w:rPr>
      </w:pPr>
      <w:r w:rsidRPr="00BA7402">
        <w:rPr>
          <w:color w:val="auto"/>
          <w:lang w:val="bg-BG"/>
        </w:rPr>
        <w:t>Балансовата стойност на финансовите активи представлява максималната кредитна експозиция.</w:t>
      </w:r>
    </w:p>
    <w:p w:rsidR="008E0881" w:rsidRPr="00BA7402" w:rsidRDefault="008E0881" w:rsidP="008E0881">
      <w:pPr>
        <w:pStyle w:val="CM10"/>
        <w:jc w:val="both"/>
        <w:rPr>
          <w:color w:val="auto"/>
          <w:lang w:val="bg-BG"/>
        </w:rPr>
      </w:pPr>
      <w:r w:rsidRPr="00BA7402">
        <w:rPr>
          <w:color w:val="auto"/>
          <w:lang w:val="bg-BG"/>
        </w:rPr>
        <w:t>Дружеството няма дългови ценни книжа, които са просрочени, но не са обезценени към 31 декември 201</w:t>
      </w:r>
      <w:r w:rsidR="002A5196">
        <w:rPr>
          <w:color w:val="auto"/>
          <w:lang w:val="bg-BG"/>
        </w:rPr>
        <w:t>9</w:t>
      </w:r>
      <w:r w:rsidRPr="00BA7402">
        <w:rPr>
          <w:color w:val="auto"/>
          <w:lang w:val="bg-BG"/>
        </w:rPr>
        <w:t xml:space="preserve"> г. (201</w:t>
      </w:r>
      <w:r w:rsidR="002A5196">
        <w:rPr>
          <w:color w:val="auto"/>
          <w:lang w:val="bg-BG"/>
        </w:rPr>
        <w:t>8</w:t>
      </w:r>
      <w:r w:rsidRPr="00BA7402">
        <w:rPr>
          <w:color w:val="auto"/>
          <w:lang w:val="bg-BG"/>
        </w:rPr>
        <w:t>: нула).</w:t>
      </w:r>
    </w:p>
    <w:p w:rsidR="008E0881" w:rsidRPr="00BA7402" w:rsidRDefault="008E0881" w:rsidP="008E0881">
      <w:pPr>
        <w:pStyle w:val="Heading3"/>
        <w:spacing w:before="120" w:after="120" w:line="260" w:lineRule="atLeast"/>
        <w:rPr>
          <w:rFonts w:ascii="Times New Roman" w:hAnsi="Times New Roman"/>
          <w:i/>
          <w:color w:val="auto"/>
          <w:sz w:val="20"/>
          <w:szCs w:val="20"/>
          <w:lang w:val="bg-BG"/>
        </w:rPr>
      </w:pPr>
      <w:r w:rsidRPr="00BA7402">
        <w:rPr>
          <w:rFonts w:ascii="Times New Roman" w:hAnsi="Times New Roman"/>
          <w:i/>
          <w:color w:val="auto"/>
          <w:sz w:val="20"/>
          <w:szCs w:val="20"/>
          <w:lang w:val="bg-BG"/>
        </w:rPr>
        <w:t xml:space="preserve"> (</w:t>
      </w:r>
      <w:r w:rsidR="000D322C">
        <w:rPr>
          <w:rFonts w:ascii="Times New Roman" w:hAnsi="Times New Roman"/>
          <w:i/>
          <w:color w:val="auto"/>
          <w:sz w:val="20"/>
          <w:szCs w:val="20"/>
          <w:lang w:val="bg-BG"/>
        </w:rPr>
        <w:t>г</w:t>
      </w:r>
      <w:r w:rsidRPr="00BA7402">
        <w:rPr>
          <w:rFonts w:ascii="Times New Roman" w:hAnsi="Times New Roman"/>
          <w:i/>
          <w:color w:val="auto"/>
          <w:sz w:val="20"/>
          <w:szCs w:val="20"/>
          <w:lang w:val="bg-BG"/>
        </w:rPr>
        <w:t>) Ликвиден риск</w:t>
      </w:r>
    </w:p>
    <w:p w:rsidR="008E0881" w:rsidRPr="00BA7402" w:rsidRDefault="008E0881" w:rsidP="008E0881">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Ликвидният риск е рискът, че Дружеството ще има трудности при изпълнение на задълженията, свързани с финансовите пасиви, които се уреждат в пари или чрез друг финансов актив. Подходът на Дружеството за управление на ликвидността е да се осигури, доколкото е възможно, че винаги ще има достатъчно ликвидност, за да изпълни задълженията си, както при нормални, така и при стресови условия, както и без да се понесе неприемливи загуби или да се навреди на репутацията на Дружеството.</w:t>
      </w:r>
    </w:p>
    <w:p w:rsidR="008E0881" w:rsidRPr="00BA7402" w:rsidRDefault="006C6E65" w:rsidP="008E0881">
      <w:pPr>
        <w:pStyle w:val="Heading3"/>
        <w:spacing w:after="120" w:line="260" w:lineRule="atLeast"/>
        <w:ind w:left="810" w:hanging="810"/>
        <w:jc w:val="both"/>
        <w:rPr>
          <w:rFonts w:ascii="Times New Roman" w:hAnsi="Times New Roman"/>
          <w:i/>
          <w:color w:val="auto"/>
          <w:sz w:val="20"/>
          <w:szCs w:val="20"/>
          <w:lang w:val="bg-BG"/>
        </w:rPr>
      </w:pPr>
      <w:r>
        <w:rPr>
          <w:rFonts w:ascii="Times New Roman" w:hAnsi="Times New Roman"/>
          <w:i/>
          <w:color w:val="auto"/>
          <w:sz w:val="20"/>
          <w:szCs w:val="20"/>
          <w:lang w:val="bg-BG"/>
        </w:rPr>
        <w:t xml:space="preserve"> (</w:t>
      </w:r>
      <w:r w:rsidR="000D322C">
        <w:rPr>
          <w:rFonts w:ascii="Times New Roman" w:hAnsi="Times New Roman"/>
          <w:i/>
          <w:color w:val="auto"/>
          <w:sz w:val="20"/>
          <w:szCs w:val="20"/>
          <w:lang w:val="bg-BG"/>
        </w:rPr>
        <w:t>д</w:t>
      </w:r>
      <w:r w:rsidR="008E0881" w:rsidRPr="00BA7402">
        <w:rPr>
          <w:rFonts w:ascii="Times New Roman" w:hAnsi="Times New Roman"/>
          <w:i/>
          <w:color w:val="auto"/>
          <w:sz w:val="20"/>
          <w:szCs w:val="20"/>
          <w:lang w:val="bg-BG"/>
        </w:rPr>
        <w:t>)  Пазарен риск</w:t>
      </w:r>
    </w:p>
    <w:p w:rsidR="008E0881" w:rsidRPr="00BA7402" w:rsidRDefault="008E0881" w:rsidP="008E0881">
      <w:pPr>
        <w:pStyle w:val="Default"/>
        <w:spacing w:after="120"/>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се контролира експозицията към пазарен риск в приемливи граници като се оптимизира възвръщаемостта.</w:t>
      </w:r>
    </w:p>
    <w:p w:rsidR="008E0881" w:rsidRPr="00BA7402" w:rsidRDefault="008E0881" w:rsidP="008E0881">
      <w:pPr>
        <w:pStyle w:val="Heading4"/>
        <w:spacing w:line="260" w:lineRule="atLeast"/>
        <w:jc w:val="both"/>
        <w:rPr>
          <w:rFonts w:ascii="Times New Roman" w:hAnsi="Times New Roman"/>
          <w:b w:val="0"/>
          <w:color w:val="auto"/>
          <w:sz w:val="20"/>
          <w:szCs w:val="20"/>
          <w:lang w:val="bg-BG"/>
        </w:rPr>
      </w:pPr>
      <w:r w:rsidRPr="00BA7402">
        <w:rPr>
          <w:rFonts w:ascii="Times New Roman" w:hAnsi="Times New Roman"/>
          <w:b w:val="0"/>
          <w:color w:val="auto"/>
          <w:sz w:val="20"/>
          <w:szCs w:val="20"/>
          <w:lang w:val="bg-BG"/>
        </w:rPr>
        <w:t>Валутен риск</w:t>
      </w:r>
    </w:p>
    <w:p w:rsidR="008E0881" w:rsidRPr="00BA7402" w:rsidRDefault="008E0881" w:rsidP="008E0881">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Дружеството е изложено на валутен риск при покупки и/или продажби и/или поемане на заеми във валута, различна от функционалната валута - BGN. Такива сделки са деноминирани предимно в (EUR), (USD), (GBP) и (CHF). От 1999 година обменният курс на Българския лев (BGN) е фиксиран към евро (EUR). Обменният курс е BGN 1.95583 / EUR 1.0.</w:t>
      </w: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B574D7" w:rsidRPr="00BA7402" w:rsidRDefault="00B574D7" w:rsidP="008E0881">
      <w:pPr>
        <w:pStyle w:val="Default"/>
        <w:spacing w:before="120" w:after="120" w:line="260" w:lineRule="atLeast"/>
        <w:jc w:val="both"/>
        <w:rPr>
          <w:rFonts w:ascii="Times New Roman" w:hAnsi="Times New Roman" w:cs="Times New Roman"/>
          <w:color w:val="auto"/>
          <w:sz w:val="20"/>
          <w:szCs w:val="20"/>
          <w:lang w:val="bg-BG"/>
        </w:rPr>
      </w:pPr>
    </w:p>
    <w:p w:rsidR="000240DF" w:rsidRPr="00BA7402" w:rsidRDefault="00BD6BE6" w:rsidP="00BD6BE6">
      <w:pPr>
        <w:pStyle w:val="Heading2"/>
        <w:spacing w:before="240" w:after="120" w:line="260" w:lineRule="atLeast"/>
        <w:rPr>
          <w:rFonts w:ascii="Times New Roman" w:hAnsi="Times New Roman"/>
          <w:color w:val="auto"/>
          <w:sz w:val="20"/>
          <w:szCs w:val="20"/>
          <w:lang w:val="bg-BG"/>
        </w:rPr>
      </w:pPr>
      <w:bookmarkStart w:id="20" w:name="_Toc515965333"/>
      <w:r>
        <w:rPr>
          <w:rFonts w:ascii="Times New Roman" w:hAnsi="Times New Roman"/>
          <w:color w:val="auto"/>
          <w:sz w:val="20"/>
          <w:szCs w:val="20"/>
          <w:lang w:val="bg-BG"/>
        </w:rPr>
        <w:lastRenderedPageBreak/>
        <w:t>1</w:t>
      </w:r>
      <w:r w:rsidR="000D322C">
        <w:rPr>
          <w:rFonts w:ascii="Times New Roman" w:hAnsi="Times New Roman"/>
          <w:color w:val="auto"/>
          <w:sz w:val="20"/>
          <w:szCs w:val="20"/>
          <w:lang w:val="bg-BG"/>
        </w:rPr>
        <w:t>1</w:t>
      </w:r>
      <w:r>
        <w:rPr>
          <w:rFonts w:ascii="Times New Roman" w:hAnsi="Times New Roman"/>
          <w:color w:val="auto"/>
          <w:sz w:val="20"/>
          <w:szCs w:val="20"/>
          <w:lang w:val="bg-BG"/>
        </w:rPr>
        <w:t>.</w:t>
      </w:r>
      <w:r w:rsidR="000240DF" w:rsidRPr="00BA7402">
        <w:rPr>
          <w:rFonts w:ascii="Times New Roman" w:hAnsi="Times New Roman"/>
          <w:color w:val="auto"/>
          <w:sz w:val="20"/>
          <w:szCs w:val="20"/>
          <w:lang w:val="bg-BG"/>
        </w:rPr>
        <w:t xml:space="preserve">Свързани лица </w:t>
      </w:r>
    </w:p>
    <w:p w:rsidR="000240DF" w:rsidRPr="00BA7402" w:rsidRDefault="000240DF" w:rsidP="000240DF">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(а)  Предприятие-майка и крайно контролиращо лице</w:t>
      </w:r>
    </w:p>
    <w:p w:rsidR="000240DF" w:rsidRPr="00BA7402" w:rsidRDefault="000240DF" w:rsidP="000240DF">
      <w:pPr>
        <w:spacing w:after="0" w:line="240" w:lineRule="auto"/>
        <w:ind w:firstLine="720"/>
        <w:rPr>
          <w:rFonts w:ascii="Times New Roman" w:hAnsi="Times New Roman"/>
          <w:sz w:val="20"/>
          <w:szCs w:val="20"/>
          <w:lang w:val="bg-BG" w:eastAsia="bg-BG"/>
        </w:rPr>
      </w:pPr>
      <w:r w:rsidRPr="00BA7402">
        <w:rPr>
          <w:rFonts w:ascii="Times New Roman" w:hAnsi="Times New Roman"/>
          <w:sz w:val="20"/>
          <w:szCs w:val="20"/>
          <w:lang w:val="bg-BG" w:eastAsia="bg-BG"/>
        </w:rPr>
        <w:t>При сделки със свързани лица няма необичайни условия и отклонение от средните пазарни цени.</w:t>
      </w:r>
    </w:p>
    <w:p w:rsidR="000240DF" w:rsidRPr="00BA7402" w:rsidRDefault="000240DF" w:rsidP="000240DF">
      <w:pPr>
        <w:spacing w:after="0" w:line="240" w:lineRule="auto"/>
        <w:ind w:firstLine="720"/>
        <w:rPr>
          <w:rFonts w:ascii="Times New Roman" w:hAnsi="Times New Roman"/>
          <w:sz w:val="20"/>
          <w:szCs w:val="20"/>
          <w:lang w:val="bg-BG" w:eastAsia="bg-BG"/>
        </w:rPr>
      </w:pPr>
    </w:p>
    <w:p w:rsidR="000240DF" w:rsidRPr="00BA7402" w:rsidRDefault="000240DF" w:rsidP="000240DF">
      <w:pPr>
        <w:spacing w:after="0" w:line="240" w:lineRule="auto"/>
        <w:ind w:firstLine="720"/>
        <w:rPr>
          <w:rFonts w:ascii="Times New Roman" w:hAnsi="Times New Roman"/>
          <w:sz w:val="20"/>
          <w:szCs w:val="20"/>
          <w:lang w:eastAsia="bg-BG"/>
        </w:rPr>
      </w:pPr>
      <w:r w:rsidRPr="00BA7402">
        <w:rPr>
          <w:rFonts w:ascii="Times New Roman" w:hAnsi="Times New Roman"/>
          <w:sz w:val="20"/>
          <w:szCs w:val="20"/>
          <w:lang w:val="bg-BG" w:eastAsia="bg-BG"/>
        </w:rPr>
        <w:t>Свързани лица са:</w:t>
      </w:r>
    </w:p>
    <w:tbl>
      <w:tblPr>
        <w:tblW w:w="91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33"/>
        <w:gridCol w:w="1276"/>
        <w:gridCol w:w="2693"/>
      </w:tblGrid>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snapToGrid w:val="0"/>
                <w:color w:val="000000"/>
                <w:sz w:val="20"/>
                <w:szCs w:val="20"/>
                <w:lang w:val="bg-BG"/>
              </w:rPr>
            </w:pPr>
            <w:r w:rsidRPr="00BA7402">
              <w:rPr>
                <w:rFonts w:ascii="Times New Roman" w:hAnsi="Times New Roman"/>
                <w:sz w:val="20"/>
                <w:szCs w:val="20"/>
                <w:lang w:val="bg-BG" w:eastAsia="bg-BG"/>
              </w:rPr>
              <w:tab/>
            </w:r>
          </w:p>
        </w:tc>
        <w:tc>
          <w:tcPr>
            <w:tcW w:w="1276" w:type="dxa"/>
            <w:shd w:val="clear" w:color="FFFFFF" w:fill="auto"/>
          </w:tcPr>
          <w:p w:rsidR="000240DF" w:rsidRPr="00BA7402" w:rsidRDefault="000240DF" w:rsidP="00655309">
            <w:pPr>
              <w:spacing w:after="0" w:line="240" w:lineRule="auto"/>
              <w:jc w:val="center"/>
              <w:rPr>
                <w:rFonts w:ascii="Times New Roman" w:hAnsi="Times New Roman"/>
                <w:snapToGrid w:val="0"/>
                <w:color w:val="000000"/>
                <w:sz w:val="20"/>
                <w:szCs w:val="20"/>
                <w:lang w:val="bg-BG"/>
              </w:rPr>
            </w:pPr>
            <w:proofErr w:type="spellStart"/>
            <w:r w:rsidRPr="00BA7402">
              <w:rPr>
                <w:rFonts w:ascii="Times New Roman" w:hAnsi="Times New Roman"/>
                <w:snapToGrid w:val="0"/>
                <w:color w:val="000000"/>
                <w:sz w:val="20"/>
                <w:szCs w:val="20"/>
                <w:lang w:val="en-AU"/>
              </w:rPr>
              <w:t>Сума</w:t>
            </w:r>
            <w:proofErr w:type="spellEnd"/>
            <w:r w:rsidRPr="00BA7402">
              <w:rPr>
                <w:rFonts w:ascii="Times New Roman" w:hAnsi="Times New Roman"/>
                <w:snapToGrid w:val="0"/>
                <w:color w:val="000000"/>
                <w:sz w:val="20"/>
                <w:szCs w:val="20"/>
                <w:lang w:val="bg-BG"/>
              </w:rPr>
              <w:t xml:space="preserve"> в хил.лв</w:t>
            </w:r>
          </w:p>
        </w:tc>
        <w:tc>
          <w:tcPr>
            <w:tcW w:w="2693" w:type="dxa"/>
            <w:shd w:val="clear" w:color="FFFFFF" w:fill="auto"/>
          </w:tcPr>
          <w:p w:rsidR="000240DF" w:rsidRPr="00BA7402" w:rsidRDefault="000240DF" w:rsidP="00655309">
            <w:pPr>
              <w:spacing w:after="0" w:line="240" w:lineRule="auto"/>
              <w:jc w:val="center"/>
              <w:rPr>
                <w:rFonts w:ascii="Times New Roman" w:hAnsi="Times New Roman"/>
                <w:snapToGrid w:val="0"/>
                <w:color w:val="000000"/>
                <w:sz w:val="20"/>
                <w:szCs w:val="20"/>
                <w:lang w:val="bg-BG"/>
              </w:rPr>
            </w:pPr>
            <w:r w:rsidRPr="00BA7402">
              <w:rPr>
                <w:rFonts w:ascii="Times New Roman" w:hAnsi="Times New Roman"/>
                <w:snapToGrid w:val="0"/>
                <w:color w:val="000000"/>
                <w:sz w:val="20"/>
                <w:szCs w:val="20"/>
                <w:lang w:val="ru-RU"/>
              </w:rPr>
              <w:t>% на инвестицията в капитала на другото предпр</w:t>
            </w:r>
            <w:r w:rsidRPr="00BA7402">
              <w:rPr>
                <w:rFonts w:ascii="Times New Roman" w:hAnsi="Times New Roman"/>
                <w:snapToGrid w:val="0"/>
                <w:color w:val="000000"/>
                <w:sz w:val="20"/>
                <w:szCs w:val="20"/>
                <w:lang w:val="bg-BG"/>
              </w:rPr>
              <w:t>иятие</w:t>
            </w:r>
          </w:p>
        </w:tc>
      </w:tr>
      <w:tr w:rsidR="000240DF" w:rsidRPr="00BA7402" w:rsidTr="00655309">
        <w:trPr>
          <w:trHeight w:val="221"/>
          <w:tblHeader/>
        </w:trPr>
        <w:tc>
          <w:tcPr>
            <w:tcW w:w="5133" w:type="dxa"/>
          </w:tcPr>
          <w:p w:rsidR="000240DF" w:rsidRPr="00BA7402" w:rsidRDefault="000240DF" w:rsidP="002351CE">
            <w:pPr>
              <w:spacing w:after="0" w:line="240" w:lineRule="auto"/>
              <w:ind w:left="57"/>
              <w:rPr>
                <w:rFonts w:ascii="Times New Roman" w:hAnsi="Times New Roman"/>
                <w:snapToGrid w:val="0"/>
                <w:color w:val="000000"/>
                <w:sz w:val="20"/>
                <w:szCs w:val="20"/>
                <w:lang w:val="bg-BG"/>
              </w:rPr>
            </w:pPr>
            <w:r w:rsidRPr="00BA7402">
              <w:rPr>
                <w:rFonts w:ascii="Times New Roman" w:hAnsi="Times New Roman"/>
                <w:snapToGrid w:val="0"/>
                <w:color w:val="000000"/>
                <w:sz w:val="20"/>
                <w:szCs w:val="20"/>
              </w:rPr>
              <w:t>I</w:t>
            </w:r>
            <w:r w:rsidRPr="00BA7402">
              <w:rPr>
                <w:rFonts w:ascii="Times New Roman" w:hAnsi="Times New Roman"/>
                <w:snapToGrid w:val="0"/>
                <w:color w:val="000000"/>
                <w:sz w:val="20"/>
                <w:szCs w:val="20"/>
                <w:lang w:val="bg-BG"/>
              </w:rPr>
              <w:t>.ТК Холд АД –дружество-майка</w:t>
            </w:r>
          </w:p>
        </w:tc>
        <w:tc>
          <w:tcPr>
            <w:tcW w:w="1276" w:type="dxa"/>
            <w:shd w:val="clear" w:color="FFFFFF" w:fill="auto"/>
          </w:tcPr>
          <w:p w:rsidR="000240DF" w:rsidRPr="00BA7402" w:rsidRDefault="007C5CDC" w:rsidP="00655309">
            <w:pPr>
              <w:spacing w:after="0" w:line="240" w:lineRule="auto"/>
              <w:jc w:val="right"/>
              <w:rPr>
                <w:rFonts w:ascii="Times New Roman" w:hAnsi="Times New Roman"/>
                <w:snapToGrid w:val="0"/>
                <w:color w:val="000000"/>
                <w:sz w:val="20"/>
                <w:szCs w:val="20"/>
                <w:lang w:val="bg-BG"/>
              </w:rPr>
            </w:pPr>
            <w:r w:rsidRPr="00BA7402">
              <w:rPr>
                <w:rFonts w:ascii="Times New Roman" w:hAnsi="Times New Roman"/>
                <w:snapToGrid w:val="0"/>
                <w:color w:val="000000"/>
                <w:sz w:val="20"/>
                <w:szCs w:val="20"/>
              </w:rPr>
              <w:t>1</w:t>
            </w:r>
            <w:r w:rsidRPr="00BA7402">
              <w:rPr>
                <w:rFonts w:ascii="Times New Roman" w:hAnsi="Times New Roman"/>
                <w:snapToGrid w:val="0"/>
                <w:color w:val="000000"/>
                <w:sz w:val="20"/>
                <w:szCs w:val="20"/>
                <w:lang w:val="bg-BG"/>
              </w:rPr>
              <w:t>0</w:t>
            </w:r>
            <w:r w:rsidR="000240DF" w:rsidRPr="00BA7402">
              <w:rPr>
                <w:rFonts w:ascii="Times New Roman" w:hAnsi="Times New Roman"/>
                <w:snapToGrid w:val="0"/>
                <w:color w:val="000000"/>
                <w:sz w:val="20"/>
                <w:szCs w:val="20"/>
                <w:lang w:val="bg-BG"/>
              </w:rPr>
              <w:t>8</w:t>
            </w:r>
          </w:p>
        </w:tc>
        <w:tc>
          <w:tcPr>
            <w:tcW w:w="2693" w:type="dxa"/>
            <w:shd w:val="clear" w:color="FFFFFF" w:fill="auto"/>
          </w:tcPr>
          <w:p w:rsidR="000240DF" w:rsidRPr="00BA7402" w:rsidRDefault="000240DF" w:rsidP="007C5CDC">
            <w:pPr>
              <w:spacing w:after="0" w:line="240" w:lineRule="auto"/>
              <w:jc w:val="center"/>
              <w:rPr>
                <w:rFonts w:ascii="Times New Roman" w:hAnsi="Times New Roman"/>
                <w:snapToGrid w:val="0"/>
                <w:color w:val="000000"/>
                <w:sz w:val="20"/>
                <w:szCs w:val="20"/>
                <w:lang w:val="bg-BG"/>
              </w:rPr>
            </w:pPr>
            <w:r w:rsidRPr="00BA7402">
              <w:rPr>
                <w:rFonts w:ascii="Times New Roman" w:hAnsi="Times New Roman"/>
                <w:snapToGrid w:val="0"/>
                <w:color w:val="000000"/>
                <w:sz w:val="20"/>
                <w:szCs w:val="20"/>
                <w:lang w:val="bg-BG"/>
              </w:rPr>
              <w:t xml:space="preserve"> </w:t>
            </w:r>
            <w:r w:rsidR="007C5CDC" w:rsidRPr="00BA7402">
              <w:rPr>
                <w:rFonts w:ascii="Times New Roman" w:hAnsi="Times New Roman"/>
                <w:snapToGrid w:val="0"/>
                <w:color w:val="000000"/>
                <w:sz w:val="20"/>
                <w:szCs w:val="20"/>
              </w:rPr>
              <w:t>4</w:t>
            </w:r>
            <w:r w:rsidRPr="00BA7402">
              <w:rPr>
                <w:rFonts w:ascii="Times New Roman" w:hAnsi="Times New Roman"/>
                <w:snapToGrid w:val="0"/>
                <w:color w:val="000000"/>
                <w:sz w:val="20"/>
                <w:szCs w:val="20"/>
                <w:lang w:val="bg-BG"/>
              </w:rPr>
              <w:t>8,</w:t>
            </w:r>
            <w:r w:rsidR="007C5CDC" w:rsidRPr="00BA7402">
              <w:rPr>
                <w:rFonts w:ascii="Times New Roman" w:hAnsi="Times New Roman"/>
                <w:snapToGrid w:val="0"/>
                <w:color w:val="000000"/>
                <w:sz w:val="20"/>
                <w:szCs w:val="20"/>
              </w:rPr>
              <w:t>84</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rPr>
            </w:pPr>
            <w:r w:rsidRPr="00BA7402">
              <w:rPr>
                <w:rFonts w:ascii="Times New Roman" w:hAnsi="Times New Roman"/>
                <w:i/>
                <w:snapToGrid w:val="0"/>
                <w:color w:val="000000"/>
                <w:sz w:val="20"/>
                <w:szCs w:val="20"/>
                <w:lang w:val="bg-BG"/>
              </w:rPr>
              <w:t>1. Дъщерни дружества:</w:t>
            </w:r>
          </w:p>
        </w:tc>
        <w:tc>
          <w:tcPr>
            <w:tcW w:w="1276" w:type="dxa"/>
            <w:shd w:val="clear" w:color="FFFFFF" w:fill="auto"/>
          </w:tcPr>
          <w:p w:rsidR="000240DF" w:rsidRPr="00BA7402" w:rsidRDefault="000240DF" w:rsidP="00655309">
            <w:pPr>
              <w:spacing w:after="0" w:line="240" w:lineRule="auto"/>
              <w:jc w:val="right"/>
              <w:rPr>
                <w:rFonts w:ascii="Times New Roman" w:hAnsi="Times New Roman"/>
                <w:snapToGrid w:val="0"/>
                <w:color w:val="000000"/>
                <w:sz w:val="20"/>
                <w:szCs w:val="20"/>
                <w:lang w:val="bg-BG"/>
              </w:rPr>
            </w:pPr>
          </w:p>
        </w:tc>
        <w:tc>
          <w:tcPr>
            <w:tcW w:w="2693" w:type="dxa"/>
            <w:shd w:val="clear" w:color="FFFFFF" w:fill="auto"/>
          </w:tcPr>
          <w:p w:rsidR="000240DF" w:rsidRPr="00BA7402" w:rsidRDefault="000240DF" w:rsidP="00655309">
            <w:pPr>
              <w:spacing w:after="0" w:line="240" w:lineRule="auto"/>
              <w:jc w:val="center"/>
              <w:rPr>
                <w:rFonts w:ascii="Times New Roman" w:hAnsi="Times New Roman"/>
                <w:snapToGrid w:val="0"/>
                <w:color w:val="000000"/>
                <w:sz w:val="20"/>
                <w:szCs w:val="20"/>
                <w:lang w:val="bg-BG"/>
              </w:rPr>
            </w:pP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-Агрокомб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60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79,03</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-Атлас АД в ликвидация</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504</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95,28</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-Беласица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469</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72,75</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-Бял бор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47</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73,72</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-Добруджанска мебел АД</w:t>
            </w:r>
          </w:p>
        </w:tc>
        <w:tc>
          <w:tcPr>
            <w:tcW w:w="1276" w:type="dxa"/>
            <w:shd w:val="clear" w:color="FFFFFF" w:fill="auto"/>
          </w:tcPr>
          <w:p w:rsidR="000240DF" w:rsidRPr="00BA7402" w:rsidRDefault="000240DF" w:rsidP="001C6E0B">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w:t>
            </w:r>
            <w:r w:rsidR="001C6E0B" w:rsidRPr="00BA7402">
              <w:rPr>
                <w:rFonts w:ascii="Times New Roman" w:hAnsi="Times New Roman"/>
                <w:i/>
                <w:snapToGrid w:val="0"/>
                <w:color w:val="000000"/>
                <w:sz w:val="20"/>
                <w:szCs w:val="20"/>
              </w:rPr>
              <w:t>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85,64</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-Изгрев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54</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79,72</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-Кабиле ЛБ АД</w:t>
            </w:r>
          </w:p>
        </w:tc>
        <w:tc>
          <w:tcPr>
            <w:tcW w:w="1276" w:type="dxa"/>
            <w:shd w:val="clear" w:color="FFFFFF" w:fill="auto"/>
          </w:tcPr>
          <w:p w:rsidR="000240DF" w:rsidRPr="00BA7402" w:rsidRDefault="000240DF" w:rsidP="007C5CDC">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10</w:t>
            </w:r>
            <w:r w:rsidR="007C5CDC" w:rsidRPr="00BA7402">
              <w:rPr>
                <w:rFonts w:ascii="Times New Roman" w:hAnsi="Times New Roman"/>
                <w:i/>
                <w:snapToGrid w:val="0"/>
                <w:color w:val="000000"/>
                <w:sz w:val="20"/>
                <w:szCs w:val="20"/>
              </w:rPr>
              <w:t>8</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48,84</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-Каумет АД</w:t>
            </w:r>
          </w:p>
        </w:tc>
        <w:tc>
          <w:tcPr>
            <w:tcW w:w="1276" w:type="dxa"/>
            <w:shd w:val="clear" w:color="FFFFFF" w:fill="auto"/>
          </w:tcPr>
          <w:p w:rsidR="000240DF" w:rsidRPr="00BA7402" w:rsidRDefault="007C5CDC" w:rsidP="007C5CDC">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rPr>
              <w:t>68</w:t>
            </w:r>
            <w:r w:rsidR="000240DF" w:rsidRPr="00BA7402">
              <w:rPr>
                <w:rFonts w:ascii="Times New Roman" w:hAnsi="Times New Roman"/>
                <w:i/>
                <w:snapToGrid w:val="0"/>
                <w:color w:val="000000"/>
                <w:sz w:val="20"/>
                <w:szCs w:val="20"/>
                <w:lang w:val="bg-BG"/>
              </w:rPr>
              <w:t>1</w:t>
            </w:r>
          </w:p>
        </w:tc>
        <w:tc>
          <w:tcPr>
            <w:tcW w:w="2693" w:type="dxa"/>
            <w:shd w:val="clear" w:color="FFFFFF" w:fill="auto"/>
          </w:tcPr>
          <w:p w:rsidR="000240DF" w:rsidRPr="00BA7402" w:rsidRDefault="001C6E0B" w:rsidP="001C6E0B">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rPr>
              <w:t>90</w:t>
            </w:r>
            <w:r w:rsidR="000240DF" w:rsidRPr="00BA7402">
              <w:rPr>
                <w:rFonts w:ascii="Times New Roman" w:hAnsi="Times New Roman"/>
                <w:i/>
                <w:snapToGrid w:val="0"/>
                <w:color w:val="000000"/>
                <w:sz w:val="20"/>
                <w:szCs w:val="20"/>
                <w:lang w:val="bg-BG"/>
              </w:rPr>
              <w:t>,6</w:t>
            </w:r>
            <w:r w:rsidRPr="00BA7402">
              <w:rPr>
                <w:rFonts w:ascii="Times New Roman" w:hAnsi="Times New Roman"/>
                <w:i/>
                <w:snapToGrid w:val="0"/>
                <w:color w:val="000000"/>
                <w:sz w:val="20"/>
                <w:szCs w:val="20"/>
              </w:rPr>
              <w:t>7</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-Милк Комерсиал ЕООД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100,00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-Модул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810</w:t>
            </w:r>
          </w:p>
        </w:tc>
        <w:tc>
          <w:tcPr>
            <w:tcW w:w="2693" w:type="dxa"/>
            <w:shd w:val="clear" w:color="FFFFFF" w:fill="auto"/>
          </w:tcPr>
          <w:p w:rsidR="000240DF" w:rsidRPr="00BA7402" w:rsidRDefault="000240DF" w:rsidP="007C5CDC">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9</w:t>
            </w:r>
            <w:r w:rsidR="007C5CDC" w:rsidRPr="00BA7402">
              <w:rPr>
                <w:rFonts w:ascii="Times New Roman" w:hAnsi="Times New Roman"/>
                <w:i/>
                <w:snapToGrid w:val="0"/>
                <w:color w:val="000000"/>
                <w:sz w:val="20"/>
                <w:szCs w:val="20"/>
              </w:rPr>
              <w:t>1</w:t>
            </w:r>
            <w:r w:rsidRPr="00BA7402">
              <w:rPr>
                <w:rFonts w:ascii="Times New Roman" w:hAnsi="Times New Roman"/>
                <w:i/>
                <w:snapToGrid w:val="0"/>
                <w:color w:val="000000"/>
                <w:sz w:val="20"/>
                <w:szCs w:val="20"/>
                <w:lang w:val="bg-BG"/>
              </w:rPr>
              <w:t>,46</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-Програмни продукти и системи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802</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86,13</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-Рален текс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82,43</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-Рилски лен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3765</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97,09</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-Технотекс АД</w:t>
            </w:r>
          </w:p>
        </w:tc>
        <w:tc>
          <w:tcPr>
            <w:tcW w:w="1276" w:type="dxa"/>
            <w:shd w:val="clear" w:color="FFFFFF" w:fill="auto"/>
          </w:tcPr>
          <w:p w:rsidR="000240DF" w:rsidRPr="00BA7402" w:rsidRDefault="001C6E0B" w:rsidP="001C6E0B">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rPr>
              <w:t>651</w:t>
            </w:r>
          </w:p>
        </w:tc>
        <w:tc>
          <w:tcPr>
            <w:tcW w:w="2693" w:type="dxa"/>
            <w:shd w:val="clear" w:color="FFFFFF" w:fill="auto"/>
          </w:tcPr>
          <w:p w:rsidR="000240DF" w:rsidRPr="00BA7402" w:rsidRDefault="001C6E0B" w:rsidP="001C6E0B">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rPr>
              <w:t>90</w:t>
            </w:r>
            <w:r w:rsidR="000240DF" w:rsidRPr="00BA7402">
              <w:rPr>
                <w:rFonts w:ascii="Times New Roman" w:hAnsi="Times New Roman"/>
                <w:i/>
                <w:snapToGrid w:val="0"/>
                <w:color w:val="000000"/>
                <w:sz w:val="20"/>
                <w:szCs w:val="20"/>
                <w:lang w:val="bg-BG"/>
              </w:rPr>
              <w:t>.</w:t>
            </w:r>
            <w:r w:rsidRPr="00BA7402">
              <w:rPr>
                <w:rFonts w:ascii="Times New Roman" w:hAnsi="Times New Roman"/>
                <w:i/>
                <w:snapToGrid w:val="0"/>
                <w:color w:val="000000"/>
                <w:sz w:val="20"/>
                <w:szCs w:val="20"/>
              </w:rPr>
              <w:t>5</w:t>
            </w:r>
            <w:r w:rsidR="000240DF" w:rsidRPr="00BA7402">
              <w:rPr>
                <w:rFonts w:ascii="Times New Roman" w:hAnsi="Times New Roman"/>
                <w:i/>
                <w:snapToGrid w:val="0"/>
                <w:color w:val="000000"/>
                <w:sz w:val="20"/>
                <w:szCs w:val="20"/>
                <w:lang w:val="bg-BG"/>
              </w:rPr>
              <w:t>6</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-ТК Лизинг ООД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2</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70,00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-ТК Пролайн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925</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50,00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-Тунджа 73 ЕООД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49</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100,00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2.Асоциирани дружества</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-Кабиле ЛБ 98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0,00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33,00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-Комплект ББ ООД</w:t>
            </w:r>
          </w:p>
        </w:tc>
        <w:tc>
          <w:tcPr>
            <w:tcW w:w="1276" w:type="dxa"/>
            <w:shd w:val="clear" w:color="FFFFFF" w:fill="auto"/>
          </w:tcPr>
          <w:p w:rsidR="000240DF" w:rsidRPr="00BA7402" w:rsidRDefault="0072435B" w:rsidP="0072435B">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2</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-Крепежи България трейдинг ООД</w:t>
            </w:r>
          </w:p>
        </w:tc>
        <w:tc>
          <w:tcPr>
            <w:tcW w:w="1276" w:type="dxa"/>
            <w:shd w:val="clear" w:color="FFFFFF" w:fill="auto"/>
          </w:tcPr>
          <w:p w:rsidR="000240DF" w:rsidRPr="00BA7402" w:rsidRDefault="0072435B" w:rsidP="0072435B">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40,00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-Месопром-Видин ООД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0,00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32,97</w:t>
            </w:r>
          </w:p>
        </w:tc>
      </w:tr>
      <w:tr w:rsidR="0072435B" w:rsidRPr="00BA7402" w:rsidTr="00655309">
        <w:trPr>
          <w:trHeight w:val="221"/>
          <w:tblHeader/>
        </w:trPr>
        <w:tc>
          <w:tcPr>
            <w:tcW w:w="5133" w:type="dxa"/>
          </w:tcPr>
          <w:p w:rsidR="0072435B" w:rsidRPr="00BA7402" w:rsidRDefault="0072435B"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-Випом АД</w:t>
            </w:r>
          </w:p>
        </w:tc>
        <w:tc>
          <w:tcPr>
            <w:tcW w:w="1276" w:type="dxa"/>
            <w:shd w:val="clear" w:color="FFFFFF" w:fill="auto"/>
          </w:tcPr>
          <w:p w:rsidR="0072435B" w:rsidRPr="00BA7402" w:rsidRDefault="0072435B"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587</w:t>
            </w:r>
          </w:p>
        </w:tc>
        <w:tc>
          <w:tcPr>
            <w:tcW w:w="2693" w:type="dxa"/>
            <w:shd w:val="clear" w:color="FFFFFF" w:fill="auto"/>
          </w:tcPr>
          <w:p w:rsidR="0072435B" w:rsidRPr="00BA7402" w:rsidRDefault="0072435B"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33,00</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3.Други предприятия</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-Вихрен-БЛ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6</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4,33</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-Машпроект инженеринг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0,00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0,35</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-ППС-Имоти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340</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13,18</w:t>
            </w:r>
          </w:p>
        </w:tc>
      </w:tr>
      <w:tr w:rsidR="000240DF" w:rsidRPr="00BA7402" w:rsidTr="00655309">
        <w:trPr>
          <w:trHeight w:val="221"/>
          <w:tblHeader/>
        </w:trPr>
        <w:tc>
          <w:tcPr>
            <w:tcW w:w="5133" w:type="dxa"/>
          </w:tcPr>
          <w:p w:rsidR="000240DF" w:rsidRPr="00BA7402" w:rsidRDefault="000240DF" w:rsidP="00655309">
            <w:pPr>
              <w:spacing w:after="0" w:line="240" w:lineRule="auto"/>
              <w:ind w:left="57"/>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-Хармония-ТМ АД</w:t>
            </w:r>
          </w:p>
        </w:tc>
        <w:tc>
          <w:tcPr>
            <w:tcW w:w="1276" w:type="dxa"/>
            <w:shd w:val="clear" w:color="FFFFFF" w:fill="auto"/>
          </w:tcPr>
          <w:p w:rsidR="000240DF" w:rsidRPr="00BA7402" w:rsidRDefault="000240DF" w:rsidP="00655309">
            <w:pPr>
              <w:spacing w:after="0" w:line="240" w:lineRule="auto"/>
              <w:jc w:val="right"/>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6</w:t>
            </w:r>
          </w:p>
        </w:tc>
        <w:tc>
          <w:tcPr>
            <w:tcW w:w="2693" w:type="dxa"/>
            <w:shd w:val="clear" w:color="FFFFFF" w:fill="auto"/>
          </w:tcPr>
          <w:p w:rsidR="000240DF" w:rsidRPr="00BA7402" w:rsidRDefault="000240DF" w:rsidP="00655309">
            <w:pPr>
              <w:spacing w:after="0" w:line="240" w:lineRule="auto"/>
              <w:jc w:val="center"/>
              <w:rPr>
                <w:rFonts w:ascii="Times New Roman" w:hAnsi="Times New Roman"/>
                <w:i/>
                <w:snapToGrid w:val="0"/>
                <w:color w:val="000000"/>
                <w:sz w:val="20"/>
                <w:szCs w:val="20"/>
                <w:lang w:val="bg-BG"/>
              </w:rPr>
            </w:pPr>
            <w:r w:rsidRPr="00BA7402">
              <w:rPr>
                <w:rFonts w:ascii="Times New Roman" w:hAnsi="Times New Roman"/>
                <w:i/>
                <w:snapToGrid w:val="0"/>
                <w:color w:val="000000"/>
                <w:sz w:val="20"/>
                <w:szCs w:val="20"/>
                <w:lang w:val="bg-BG"/>
              </w:rPr>
              <w:t>1,93</w:t>
            </w:r>
          </w:p>
        </w:tc>
      </w:tr>
    </w:tbl>
    <w:p w:rsidR="000240DF" w:rsidRPr="00BA7402" w:rsidRDefault="000240DF" w:rsidP="000240DF">
      <w:pPr>
        <w:pStyle w:val="Heading3"/>
        <w:spacing w:after="120" w:line="260" w:lineRule="atLeast"/>
        <w:jc w:val="both"/>
        <w:rPr>
          <w:rFonts w:ascii="Times New Roman" w:hAnsi="Times New Roman"/>
          <w:b w:val="0"/>
          <w:color w:val="auto"/>
          <w:sz w:val="20"/>
          <w:szCs w:val="20"/>
          <w:lang w:val="bg-BG"/>
        </w:rPr>
      </w:pPr>
      <w:r w:rsidRPr="00BA7402">
        <w:rPr>
          <w:rFonts w:ascii="Times New Roman" w:hAnsi="Times New Roman"/>
          <w:color w:val="auto"/>
          <w:sz w:val="20"/>
          <w:szCs w:val="20"/>
          <w:lang w:val="bg-BG"/>
        </w:rPr>
        <w:t xml:space="preserve"> (</w:t>
      </w:r>
      <w:r w:rsidR="00BD6BE6">
        <w:rPr>
          <w:rFonts w:ascii="Times New Roman" w:hAnsi="Times New Roman"/>
          <w:color w:val="auto"/>
          <w:sz w:val="20"/>
          <w:szCs w:val="20"/>
          <w:lang w:val="bg-BG"/>
        </w:rPr>
        <w:t>б</w:t>
      </w:r>
      <w:r w:rsidRPr="00BA7402">
        <w:rPr>
          <w:rFonts w:ascii="Times New Roman" w:hAnsi="Times New Roman"/>
          <w:color w:val="auto"/>
          <w:sz w:val="20"/>
          <w:szCs w:val="20"/>
          <w:lang w:val="bg-BG"/>
        </w:rPr>
        <w:t>)  Сделки със свързани лица</w:t>
      </w:r>
    </w:p>
    <w:tbl>
      <w:tblPr>
        <w:tblW w:w="0" w:type="auto"/>
        <w:tblLook w:val="04A0" w:firstRow="1" w:lastRow="0" w:firstColumn="1" w:lastColumn="0" w:noHBand="0" w:noVBand="1"/>
      </w:tblPr>
      <w:tblGrid>
        <w:gridCol w:w="3550"/>
        <w:gridCol w:w="678"/>
        <w:gridCol w:w="1148"/>
        <w:gridCol w:w="1134"/>
        <w:gridCol w:w="1143"/>
        <w:gridCol w:w="1135"/>
      </w:tblGrid>
      <w:tr w:rsidR="000240DF" w:rsidRPr="00BA7402" w:rsidTr="00655309">
        <w:tc>
          <w:tcPr>
            <w:tcW w:w="3550" w:type="dxa"/>
            <w:vAlign w:val="bottom"/>
          </w:tcPr>
          <w:p w:rsidR="000240DF" w:rsidRPr="00BA7402" w:rsidRDefault="000240DF" w:rsidP="00655309">
            <w:pPr>
              <w:pStyle w:val="CM10"/>
              <w:spacing w:before="0" w:after="0"/>
              <w:jc w:val="both"/>
              <w:rPr>
                <w:color w:val="auto"/>
                <w:lang w:val="bg-BG"/>
              </w:rPr>
            </w:pPr>
            <w:r w:rsidRPr="00BA7402">
              <w:rPr>
                <w:i/>
                <w:color w:val="auto"/>
                <w:lang w:val="bg-BG"/>
              </w:rPr>
              <w:t>В хиляди лева</w:t>
            </w:r>
          </w:p>
        </w:tc>
        <w:tc>
          <w:tcPr>
            <w:tcW w:w="678" w:type="dxa"/>
            <w:vAlign w:val="bottom"/>
          </w:tcPr>
          <w:p w:rsidR="000240DF" w:rsidRPr="00BA7402" w:rsidRDefault="000240DF" w:rsidP="00655309">
            <w:pPr>
              <w:pStyle w:val="CM10"/>
              <w:spacing w:before="0" w:after="0"/>
              <w:jc w:val="both"/>
              <w:rPr>
                <w:color w:val="auto"/>
                <w:lang w:val="bg-BG"/>
              </w:rPr>
            </w:pPr>
          </w:p>
        </w:tc>
        <w:tc>
          <w:tcPr>
            <w:tcW w:w="2282" w:type="dxa"/>
            <w:gridSpan w:val="2"/>
            <w:vAlign w:val="center"/>
          </w:tcPr>
          <w:p w:rsidR="000240DF" w:rsidRPr="00BA7402" w:rsidRDefault="000240DF" w:rsidP="00655309">
            <w:pPr>
              <w:pStyle w:val="Style70"/>
              <w:widowControl/>
              <w:ind w:right="5"/>
              <w:jc w:val="center"/>
              <w:rPr>
                <w:rStyle w:val="FontStyle147"/>
                <w:rFonts w:ascii="Times New Roman" w:hAnsi="Times New Roman" w:cs="Times New Roman"/>
                <w:sz w:val="20"/>
                <w:szCs w:val="20"/>
                <w:lang w:val="bg-BG"/>
              </w:rPr>
            </w:pPr>
            <w:r w:rsidRPr="00BA7402">
              <w:rPr>
                <w:rStyle w:val="FontStyle147"/>
                <w:rFonts w:ascii="Times New Roman" w:hAnsi="Times New Roman" w:cs="Times New Roman"/>
                <w:sz w:val="20"/>
                <w:szCs w:val="20"/>
                <w:lang w:val="bg-BG"/>
              </w:rPr>
              <w:t>Стойност на сделките за годината приключила на</w:t>
            </w:r>
          </w:p>
          <w:p w:rsidR="000240DF" w:rsidRPr="00BA7402" w:rsidRDefault="000240DF" w:rsidP="00655309">
            <w:pPr>
              <w:pStyle w:val="Style70"/>
              <w:widowControl/>
              <w:ind w:right="5"/>
              <w:jc w:val="center"/>
              <w:rPr>
                <w:rStyle w:val="FontStyle147"/>
                <w:rFonts w:ascii="Times New Roman" w:hAnsi="Times New Roman" w:cs="Times New Roman"/>
                <w:sz w:val="20"/>
                <w:szCs w:val="20"/>
                <w:lang w:val="bg-BG"/>
              </w:rPr>
            </w:pPr>
            <w:r w:rsidRPr="00BA7402">
              <w:rPr>
                <w:rStyle w:val="FontStyle147"/>
                <w:rFonts w:ascii="Times New Roman" w:hAnsi="Times New Roman" w:cs="Times New Roman"/>
                <w:sz w:val="20"/>
                <w:szCs w:val="20"/>
                <w:lang w:val="bg-BG"/>
              </w:rPr>
              <w:t>31 декември</w:t>
            </w:r>
          </w:p>
        </w:tc>
        <w:tc>
          <w:tcPr>
            <w:tcW w:w="2278" w:type="dxa"/>
            <w:gridSpan w:val="2"/>
            <w:vAlign w:val="bottom"/>
          </w:tcPr>
          <w:p w:rsidR="000240DF" w:rsidRPr="00BA7402" w:rsidRDefault="000240DF" w:rsidP="00655309">
            <w:pPr>
              <w:pStyle w:val="Style70"/>
              <w:widowControl/>
              <w:jc w:val="center"/>
              <w:rPr>
                <w:rStyle w:val="FontStyle147"/>
                <w:rFonts w:ascii="Times New Roman" w:hAnsi="Times New Roman" w:cs="Times New Roman"/>
                <w:sz w:val="20"/>
                <w:szCs w:val="20"/>
                <w:lang w:val="bg-BG"/>
              </w:rPr>
            </w:pPr>
            <w:r w:rsidRPr="00BA7402">
              <w:rPr>
                <w:rStyle w:val="FontStyle147"/>
                <w:rFonts w:ascii="Times New Roman" w:hAnsi="Times New Roman" w:cs="Times New Roman"/>
                <w:sz w:val="20"/>
                <w:szCs w:val="20"/>
                <w:lang w:val="bg-BG"/>
              </w:rPr>
              <w:t>Крайни салда към</w:t>
            </w:r>
          </w:p>
          <w:p w:rsidR="000240DF" w:rsidRPr="00BA7402" w:rsidRDefault="000240DF" w:rsidP="00655309">
            <w:pPr>
              <w:pStyle w:val="Style70"/>
              <w:widowControl/>
              <w:jc w:val="center"/>
              <w:rPr>
                <w:rStyle w:val="FontStyle147"/>
                <w:rFonts w:ascii="Times New Roman" w:hAnsi="Times New Roman" w:cs="Times New Roman"/>
                <w:sz w:val="20"/>
                <w:szCs w:val="20"/>
                <w:lang w:val="bg-BG"/>
              </w:rPr>
            </w:pPr>
            <w:r w:rsidRPr="00BA7402">
              <w:rPr>
                <w:rStyle w:val="FontStyle147"/>
                <w:rFonts w:ascii="Times New Roman" w:hAnsi="Times New Roman" w:cs="Times New Roman"/>
                <w:sz w:val="20"/>
                <w:szCs w:val="20"/>
                <w:lang w:val="bg-BG"/>
              </w:rPr>
              <w:t>31 декември</w:t>
            </w:r>
          </w:p>
        </w:tc>
      </w:tr>
      <w:tr w:rsidR="000240DF" w:rsidRPr="00BA7402" w:rsidTr="00655309">
        <w:tc>
          <w:tcPr>
            <w:tcW w:w="3550" w:type="dxa"/>
            <w:vAlign w:val="bottom"/>
          </w:tcPr>
          <w:p w:rsidR="000240DF" w:rsidRPr="00BA7402" w:rsidRDefault="000240DF" w:rsidP="00655309">
            <w:pPr>
              <w:pStyle w:val="CM10"/>
              <w:spacing w:before="0" w:after="0"/>
              <w:jc w:val="both"/>
              <w:rPr>
                <w:b/>
                <w:color w:val="auto"/>
                <w:lang w:val="bg-BG"/>
              </w:rPr>
            </w:pPr>
          </w:p>
        </w:tc>
        <w:tc>
          <w:tcPr>
            <w:tcW w:w="678" w:type="dxa"/>
            <w:vAlign w:val="bottom"/>
          </w:tcPr>
          <w:p w:rsidR="000240DF" w:rsidRPr="00BA7402" w:rsidRDefault="000240DF" w:rsidP="00655309">
            <w:pPr>
              <w:pStyle w:val="CM10"/>
              <w:spacing w:before="0" w:after="0"/>
              <w:jc w:val="both"/>
              <w:rPr>
                <w:b/>
                <w:i/>
                <w:color w:val="auto"/>
                <w:lang w:val="bg-BG"/>
              </w:rPr>
            </w:pPr>
          </w:p>
        </w:tc>
        <w:tc>
          <w:tcPr>
            <w:tcW w:w="1148" w:type="dxa"/>
            <w:shd w:val="clear" w:color="auto" w:fill="F2F2F2"/>
            <w:vAlign w:val="bottom"/>
          </w:tcPr>
          <w:p w:rsidR="000240DF" w:rsidRPr="00BA7402" w:rsidRDefault="000240DF" w:rsidP="000240DF">
            <w:pPr>
              <w:pStyle w:val="CM10"/>
              <w:spacing w:before="0" w:after="0"/>
              <w:jc w:val="center"/>
              <w:rPr>
                <w:b/>
                <w:color w:val="auto"/>
                <w:lang w:val="en-US"/>
              </w:rPr>
            </w:pPr>
            <w:r w:rsidRPr="00BA7402">
              <w:rPr>
                <w:b/>
                <w:color w:val="auto"/>
                <w:lang w:val="bg-BG"/>
              </w:rPr>
              <w:t>201</w:t>
            </w:r>
            <w:r w:rsidR="001C6E0B" w:rsidRPr="00BA7402">
              <w:rPr>
                <w:b/>
                <w:color w:val="auto"/>
                <w:lang w:val="bg-BG"/>
              </w:rPr>
              <w:t>9</w:t>
            </w:r>
          </w:p>
        </w:tc>
        <w:tc>
          <w:tcPr>
            <w:tcW w:w="1134" w:type="dxa"/>
            <w:vAlign w:val="bottom"/>
          </w:tcPr>
          <w:p w:rsidR="000240DF" w:rsidRPr="00BA7402" w:rsidRDefault="000240DF" w:rsidP="001C6E0B">
            <w:pPr>
              <w:pStyle w:val="CM10"/>
              <w:spacing w:before="0" w:after="0"/>
              <w:jc w:val="center"/>
              <w:rPr>
                <w:b/>
                <w:color w:val="auto"/>
                <w:lang w:val="en-US"/>
              </w:rPr>
            </w:pPr>
            <w:r w:rsidRPr="00BA7402">
              <w:rPr>
                <w:b/>
                <w:color w:val="auto"/>
                <w:lang w:val="en-US"/>
              </w:rPr>
              <w:t>201</w:t>
            </w:r>
            <w:r w:rsidR="001C6E0B" w:rsidRPr="00BA7402">
              <w:rPr>
                <w:b/>
                <w:color w:val="auto"/>
                <w:lang w:val="en-US"/>
              </w:rPr>
              <w:t>8</w:t>
            </w:r>
          </w:p>
        </w:tc>
        <w:tc>
          <w:tcPr>
            <w:tcW w:w="1143" w:type="dxa"/>
            <w:shd w:val="clear" w:color="auto" w:fill="F2F2F2"/>
            <w:vAlign w:val="bottom"/>
          </w:tcPr>
          <w:p w:rsidR="000240DF" w:rsidRPr="00BA7402" w:rsidRDefault="000240DF" w:rsidP="001C6E0B">
            <w:pPr>
              <w:pStyle w:val="CM10"/>
              <w:spacing w:before="0" w:after="0"/>
              <w:jc w:val="center"/>
              <w:rPr>
                <w:b/>
                <w:color w:val="auto"/>
                <w:lang w:val="en-US"/>
              </w:rPr>
            </w:pPr>
            <w:r w:rsidRPr="00BA7402">
              <w:rPr>
                <w:b/>
                <w:color w:val="auto"/>
                <w:lang w:val="en-US"/>
              </w:rPr>
              <w:t>201</w:t>
            </w:r>
            <w:r w:rsidR="001C6E0B" w:rsidRPr="00BA7402">
              <w:rPr>
                <w:b/>
                <w:color w:val="auto"/>
                <w:lang w:val="en-US"/>
              </w:rPr>
              <w:t>9</w:t>
            </w:r>
          </w:p>
        </w:tc>
        <w:tc>
          <w:tcPr>
            <w:tcW w:w="1135" w:type="dxa"/>
            <w:vAlign w:val="bottom"/>
          </w:tcPr>
          <w:p w:rsidR="000240DF" w:rsidRPr="00BA7402" w:rsidRDefault="000240DF" w:rsidP="001C6E0B">
            <w:pPr>
              <w:pStyle w:val="CM10"/>
              <w:spacing w:before="0" w:after="0"/>
              <w:jc w:val="center"/>
              <w:rPr>
                <w:b/>
                <w:color w:val="auto"/>
                <w:lang w:val="en-US"/>
              </w:rPr>
            </w:pPr>
            <w:r w:rsidRPr="00BA7402">
              <w:rPr>
                <w:b/>
                <w:color w:val="auto"/>
                <w:lang w:val="en-US"/>
              </w:rPr>
              <w:t>201</w:t>
            </w:r>
            <w:r w:rsidR="001C6E0B" w:rsidRPr="00BA7402">
              <w:rPr>
                <w:b/>
                <w:color w:val="auto"/>
                <w:lang w:val="en-US"/>
              </w:rPr>
              <w:t>8</w:t>
            </w:r>
          </w:p>
        </w:tc>
      </w:tr>
      <w:tr w:rsidR="000240DF" w:rsidRPr="00BA7402" w:rsidTr="00655309">
        <w:tc>
          <w:tcPr>
            <w:tcW w:w="3550" w:type="dxa"/>
            <w:vAlign w:val="bottom"/>
          </w:tcPr>
          <w:p w:rsidR="000240DF" w:rsidRPr="00BA7402" w:rsidRDefault="000240DF" w:rsidP="00655309">
            <w:pPr>
              <w:pStyle w:val="CM10"/>
              <w:spacing w:before="0" w:after="0"/>
              <w:rPr>
                <w:b/>
                <w:color w:val="auto"/>
                <w:lang w:val="bg-BG"/>
              </w:rPr>
            </w:pPr>
            <w:r w:rsidRPr="00BA7402">
              <w:rPr>
                <w:b/>
                <w:color w:val="auto"/>
                <w:lang w:val="bg-BG"/>
              </w:rPr>
              <w:t>Начислени лихви по получени заеми от свързани лица</w:t>
            </w:r>
          </w:p>
          <w:p w:rsidR="000240DF" w:rsidRPr="00BA7402" w:rsidRDefault="000240DF" w:rsidP="00655309">
            <w:pPr>
              <w:pStyle w:val="CM10"/>
              <w:spacing w:before="0" w:after="0"/>
              <w:rPr>
                <w:b/>
                <w:color w:val="auto"/>
                <w:lang w:val="bg-BG"/>
              </w:rPr>
            </w:pPr>
            <w:r w:rsidRPr="00BA7402">
              <w:rPr>
                <w:b/>
                <w:color w:val="auto"/>
                <w:lang w:val="bg-BG"/>
              </w:rPr>
              <w:t>ТК-Холд АД</w:t>
            </w:r>
          </w:p>
        </w:tc>
        <w:tc>
          <w:tcPr>
            <w:tcW w:w="678" w:type="dxa"/>
            <w:vAlign w:val="bottom"/>
          </w:tcPr>
          <w:p w:rsidR="000240DF" w:rsidRPr="00BA7402" w:rsidRDefault="000240DF" w:rsidP="00655309">
            <w:pPr>
              <w:pStyle w:val="CM10"/>
              <w:spacing w:before="0" w:after="0"/>
              <w:jc w:val="both"/>
              <w:rPr>
                <w:i/>
                <w:iCs/>
                <w:color w:val="auto"/>
                <w:lang w:val="bg-BG"/>
              </w:rPr>
            </w:pPr>
          </w:p>
        </w:tc>
        <w:tc>
          <w:tcPr>
            <w:tcW w:w="1148" w:type="dxa"/>
            <w:shd w:val="clear" w:color="auto" w:fill="F2F2F2"/>
            <w:vAlign w:val="bottom"/>
          </w:tcPr>
          <w:p w:rsidR="000240DF" w:rsidRPr="00BA7402" w:rsidRDefault="009C754E" w:rsidP="009C754E">
            <w:pPr>
              <w:pStyle w:val="CM10"/>
              <w:spacing w:before="0" w:after="0"/>
              <w:jc w:val="right"/>
              <w:rPr>
                <w:color w:val="auto"/>
                <w:lang w:val="bg-BG"/>
              </w:rPr>
            </w:pPr>
            <w:r w:rsidRPr="00BA7402">
              <w:rPr>
                <w:color w:val="auto"/>
                <w:lang w:val="en-US"/>
              </w:rPr>
              <w:t>8</w:t>
            </w:r>
          </w:p>
        </w:tc>
        <w:tc>
          <w:tcPr>
            <w:tcW w:w="1134" w:type="dxa"/>
            <w:vAlign w:val="bottom"/>
          </w:tcPr>
          <w:p w:rsidR="000240DF" w:rsidRPr="00BA7402" w:rsidRDefault="009C754E" w:rsidP="009C754E">
            <w:pPr>
              <w:pStyle w:val="CM10"/>
              <w:spacing w:before="0" w:after="0"/>
              <w:jc w:val="right"/>
              <w:rPr>
                <w:color w:val="auto"/>
                <w:lang w:val="bg-BG"/>
              </w:rPr>
            </w:pPr>
            <w:r w:rsidRPr="00BA7402">
              <w:rPr>
                <w:color w:val="auto"/>
                <w:lang w:val="en-US"/>
              </w:rPr>
              <w:t>8</w:t>
            </w:r>
          </w:p>
        </w:tc>
        <w:tc>
          <w:tcPr>
            <w:tcW w:w="1143" w:type="dxa"/>
            <w:shd w:val="clear" w:color="auto" w:fill="F2F2F2"/>
            <w:vAlign w:val="bottom"/>
          </w:tcPr>
          <w:p w:rsidR="000240DF" w:rsidRPr="000D322C" w:rsidRDefault="009C754E" w:rsidP="000D322C">
            <w:pPr>
              <w:pStyle w:val="CM10"/>
              <w:spacing w:before="0" w:after="0"/>
              <w:jc w:val="right"/>
              <w:rPr>
                <w:color w:val="auto"/>
                <w:lang w:val="bg-BG"/>
              </w:rPr>
            </w:pPr>
            <w:r w:rsidRPr="00BA7402">
              <w:rPr>
                <w:color w:val="auto"/>
                <w:lang w:val="en-US"/>
              </w:rPr>
              <w:t>12</w:t>
            </w:r>
            <w:r w:rsidR="000D322C">
              <w:rPr>
                <w:color w:val="auto"/>
                <w:lang w:val="bg-BG"/>
              </w:rPr>
              <w:t>0</w:t>
            </w:r>
          </w:p>
        </w:tc>
        <w:tc>
          <w:tcPr>
            <w:tcW w:w="1135" w:type="dxa"/>
            <w:vAlign w:val="bottom"/>
          </w:tcPr>
          <w:p w:rsidR="000240DF" w:rsidRPr="00BA7402" w:rsidRDefault="009C754E" w:rsidP="000D322C">
            <w:pPr>
              <w:pStyle w:val="CM10"/>
              <w:spacing w:before="0" w:after="0"/>
              <w:jc w:val="right"/>
              <w:rPr>
                <w:color w:val="auto"/>
                <w:lang w:val="bg-BG"/>
              </w:rPr>
            </w:pPr>
            <w:r w:rsidRPr="00BA7402">
              <w:rPr>
                <w:color w:val="auto"/>
                <w:lang w:val="en-US"/>
              </w:rPr>
              <w:t>1</w:t>
            </w:r>
            <w:r w:rsidR="000D322C">
              <w:rPr>
                <w:color w:val="auto"/>
                <w:lang w:val="bg-BG"/>
              </w:rPr>
              <w:t>1</w:t>
            </w:r>
            <w:r w:rsidRPr="00BA7402">
              <w:rPr>
                <w:color w:val="auto"/>
                <w:lang w:val="en-US"/>
              </w:rPr>
              <w:t>2</w:t>
            </w:r>
          </w:p>
        </w:tc>
      </w:tr>
      <w:tr w:rsidR="000240DF" w:rsidRPr="00BA7402" w:rsidTr="00655309">
        <w:tc>
          <w:tcPr>
            <w:tcW w:w="3550" w:type="dxa"/>
            <w:vAlign w:val="bottom"/>
          </w:tcPr>
          <w:p w:rsidR="000240DF" w:rsidRPr="00BA7402" w:rsidRDefault="000240DF" w:rsidP="00655309">
            <w:pPr>
              <w:pStyle w:val="CM10"/>
              <w:spacing w:before="0" w:after="0"/>
              <w:rPr>
                <w:color w:val="auto"/>
                <w:lang w:val="bg-BG"/>
              </w:rPr>
            </w:pPr>
          </w:p>
        </w:tc>
        <w:tc>
          <w:tcPr>
            <w:tcW w:w="678" w:type="dxa"/>
            <w:vAlign w:val="bottom"/>
          </w:tcPr>
          <w:p w:rsidR="000240DF" w:rsidRPr="00BA7402" w:rsidRDefault="000240DF" w:rsidP="00655309">
            <w:pPr>
              <w:pStyle w:val="CM10"/>
              <w:spacing w:before="0" w:after="0"/>
              <w:jc w:val="both"/>
              <w:rPr>
                <w:i/>
                <w:iCs/>
                <w:color w:val="auto"/>
                <w:lang w:val="bg-BG"/>
              </w:rPr>
            </w:pPr>
          </w:p>
        </w:tc>
        <w:tc>
          <w:tcPr>
            <w:tcW w:w="1148" w:type="dxa"/>
            <w:shd w:val="clear" w:color="auto" w:fill="F2F2F2"/>
            <w:vAlign w:val="bottom"/>
          </w:tcPr>
          <w:p w:rsidR="000240DF" w:rsidRPr="00BA7402" w:rsidRDefault="000240DF" w:rsidP="00655309">
            <w:pPr>
              <w:pStyle w:val="CM10"/>
              <w:spacing w:before="0" w:after="0"/>
              <w:jc w:val="right"/>
              <w:rPr>
                <w:color w:val="auto"/>
                <w:lang w:val="en-US"/>
              </w:rPr>
            </w:pPr>
          </w:p>
        </w:tc>
        <w:tc>
          <w:tcPr>
            <w:tcW w:w="1134" w:type="dxa"/>
            <w:vAlign w:val="bottom"/>
          </w:tcPr>
          <w:p w:rsidR="000240DF" w:rsidRPr="00BA7402" w:rsidRDefault="000240DF" w:rsidP="00655309">
            <w:pPr>
              <w:pStyle w:val="CM10"/>
              <w:spacing w:before="0" w:after="0"/>
              <w:jc w:val="right"/>
              <w:rPr>
                <w:color w:val="auto"/>
                <w:lang w:val="en-US"/>
              </w:rPr>
            </w:pPr>
          </w:p>
        </w:tc>
        <w:tc>
          <w:tcPr>
            <w:tcW w:w="1143" w:type="dxa"/>
            <w:shd w:val="clear" w:color="auto" w:fill="F2F2F2"/>
            <w:vAlign w:val="bottom"/>
          </w:tcPr>
          <w:p w:rsidR="000240DF" w:rsidRPr="00BA7402" w:rsidRDefault="000240DF" w:rsidP="00655309">
            <w:pPr>
              <w:pStyle w:val="CM10"/>
              <w:spacing w:before="0" w:after="0"/>
              <w:jc w:val="right"/>
              <w:rPr>
                <w:color w:val="auto"/>
                <w:lang w:val="bg-BG"/>
              </w:rPr>
            </w:pPr>
          </w:p>
        </w:tc>
        <w:tc>
          <w:tcPr>
            <w:tcW w:w="1135" w:type="dxa"/>
            <w:vAlign w:val="bottom"/>
          </w:tcPr>
          <w:p w:rsidR="000240DF" w:rsidRDefault="000240DF" w:rsidP="00655309">
            <w:pPr>
              <w:pStyle w:val="CM10"/>
              <w:spacing w:before="0" w:after="0"/>
              <w:jc w:val="right"/>
              <w:rPr>
                <w:color w:val="auto"/>
                <w:lang w:val="bg-BG"/>
              </w:rPr>
            </w:pPr>
          </w:p>
          <w:p w:rsidR="00215597" w:rsidRPr="00BA7402" w:rsidRDefault="00215597" w:rsidP="00655309">
            <w:pPr>
              <w:pStyle w:val="CM10"/>
              <w:spacing w:before="0" w:after="0"/>
              <w:jc w:val="right"/>
              <w:rPr>
                <w:color w:val="auto"/>
                <w:lang w:val="bg-BG"/>
              </w:rPr>
            </w:pPr>
          </w:p>
        </w:tc>
      </w:tr>
    </w:tbl>
    <w:p w:rsidR="008E0881" w:rsidRPr="00A3092A" w:rsidRDefault="00BD6BE6" w:rsidP="00BD6BE6">
      <w:pPr>
        <w:pStyle w:val="Heading2"/>
        <w:spacing w:before="240" w:after="120" w:line="260" w:lineRule="atLeast"/>
        <w:rPr>
          <w:rFonts w:ascii="Times New Roman" w:hAnsi="Times New Roman"/>
          <w:color w:val="auto"/>
          <w:sz w:val="20"/>
          <w:szCs w:val="20"/>
          <w:lang w:val="bg-BG"/>
        </w:rPr>
      </w:pPr>
      <w:bookmarkStart w:id="21" w:name="_Toc515965334"/>
      <w:bookmarkEnd w:id="20"/>
      <w:r w:rsidRPr="00A3092A">
        <w:rPr>
          <w:rFonts w:ascii="Times New Roman" w:hAnsi="Times New Roman"/>
          <w:color w:val="auto"/>
          <w:sz w:val="20"/>
          <w:szCs w:val="20"/>
          <w:lang w:val="bg-BG"/>
        </w:rPr>
        <w:lastRenderedPageBreak/>
        <w:t>1</w:t>
      </w:r>
      <w:r w:rsidR="000D322C" w:rsidRPr="00A3092A">
        <w:rPr>
          <w:rFonts w:ascii="Times New Roman" w:hAnsi="Times New Roman"/>
          <w:color w:val="auto"/>
          <w:sz w:val="20"/>
          <w:szCs w:val="20"/>
          <w:lang w:val="bg-BG"/>
        </w:rPr>
        <w:t>2</w:t>
      </w:r>
      <w:r w:rsidRPr="00A3092A">
        <w:rPr>
          <w:rFonts w:ascii="Times New Roman" w:hAnsi="Times New Roman"/>
          <w:color w:val="auto"/>
          <w:sz w:val="20"/>
          <w:szCs w:val="20"/>
          <w:lang w:val="bg-BG"/>
        </w:rPr>
        <w:t>.</w:t>
      </w:r>
      <w:r w:rsidR="008E0881" w:rsidRPr="00A3092A">
        <w:rPr>
          <w:rFonts w:ascii="Times New Roman" w:hAnsi="Times New Roman"/>
          <w:color w:val="auto"/>
          <w:sz w:val="20"/>
          <w:szCs w:val="20"/>
          <w:lang w:val="bg-BG"/>
        </w:rPr>
        <w:t>Събития след датата на отчетния период</w:t>
      </w:r>
      <w:bookmarkEnd w:id="21"/>
      <w:r w:rsidR="008E0881" w:rsidRPr="00A3092A">
        <w:rPr>
          <w:rFonts w:ascii="Times New Roman" w:hAnsi="Times New Roman"/>
          <w:color w:val="auto"/>
          <w:sz w:val="20"/>
          <w:szCs w:val="20"/>
          <w:lang w:val="bg-BG"/>
        </w:rPr>
        <w:t xml:space="preserve"> </w:t>
      </w:r>
    </w:p>
    <w:p w:rsidR="00E168EE" w:rsidRPr="00A3092A" w:rsidRDefault="007D3339" w:rsidP="00E168EE">
      <w:pPr>
        <w:jc w:val="both"/>
        <w:rPr>
          <w:rFonts w:ascii="Times New Roman" w:hAnsi="Times New Roman"/>
          <w:sz w:val="20"/>
          <w:szCs w:val="20"/>
          <w:lang w:val="bg-BG"/>
        </w:rPr>
      </w:pPr>
      <w:bookmarkStart w:id="22" w:name="_Toc515965335"/>
      <w:proofErr w:type="spellStart"/>
      <w:r w:rsidRPr="00A3092A">
        <w:rPr>
          <w:rFonts w:ascii="Times New Roman" w:hAnsi="Times New Roman"/>
          <w:sz w:val="20"/>
          <w:szCs w:val="20"/>
        </w:rPr>
        <w:t>Н</w:t>
      </w:r>
      <w:r w:rsidR="00E168EE" w:rsidRPr="00A3092A">
        <w:rPr>
          <w:rFonts w:ascii="Times New Roman" w:hAnsi="Times New Roman"/>
          <w:sz w:val="20"/>
          <w:szCs w:val="20"/>
        </w:rPr>
        <w:t>а</w:t>
      </w:r>
      <w:proofErr w:type="spellEnd"/>
      <w:r w:rsidR="00E168EE" w:rsidRPr="00A3092A">
        <w:rPr>
          <w:rFonts w:ascii="Times New Roman" w:hAnsi="Times New Roman"/>
          <w:sz w:val="20"/>
          <w:szCs w:val="20"/>
        </w:rPr>
        <w:t xml:space="preserve"> 28.02.2020 г. </w:t>
      </w:r>
      <w:proofErr w:type="spellStart"/>
      <w:r w:rsidR="00E168EE" w:rsidRPr="00A3092A">
        <w:rPr>
          <w:rFonts w:ascii="Times New Roman" w:hAnsi="Times New Roman"/>
          <w:sz w:val="20"/>
          <w:szCs w:val="20"/>
        </w:rPr>
        <w:t>се</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състо</w:t>
      </w:r>
      <w:proofErr w:type="spellEnd"/>
      <w:r w:rsidRPr="00A3092A">
        <w:rPr>
          <w:rFonts w:ascii="Times New Roman" w:hAnsi="Times New Roman"/>
          <w:sz w:val="20"/>
          <w:szCs w:val="20"/>
          <w:lang w:val="bg-BG"/>
        </w:rPr>
        <w:t>я</w:t>
      </w:r>
      <w:r w:rsidR="00E168EE" w:rsidRPr="00A3092A">
        <w:rPr>
          <w:rFonts w:ascii="Times New Roman" w:hAnsi="Times New Roman"/>
          <w:sz w:val="20"/>
          <w:szCs w:val="20"/>
        </w:rPr>
        <w:t xml:space="preserve"> ОСА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Кабиле</w:t>
      </w:r>
      <w:proofErr w:type="spellEnd"/>
      <w:r w:rsidR="00E168EE" w:rsidRPr="00A3092A">
        <w:rPr>
          <w:rFonts w:ascii="Times New Roman" w:hAnsi="Times New Roman"/>
          <w:sz w:val="20"/>
          <w:szCs w:val="20"/>
        </w:rPr>
        <w:t xml:space="preserve">-ЛБ АД, </w:t>
      </w:r>
      <w:r w:rsidRPr="00A3092A">
        <w:rPr>
          <w:rFonts w:ascii="Times New Roman" w:hAnsi="Times New Roman"/>
          <w:sz w:val="20"/>
          <w:szCs w:val="20"/>
          <w:lang w:val="bg-BG"/>
        </w:rPr>
        <w:t>к</w:t>
      </w:r>
      <w:proofErr w:type="spellStart"/>
      <w:r w:rsidR="00E168EE" w:rsidRPr="00A3092A">
        <w:rPr>
          <w:rFonts w:ascii="Times New Roman" w:hAnsi="Times New Roman"/>
          <w:sz w:val="20"/>
          <w:szCs w:val="20"/>
        </w:rPr>
        <w:t>оето</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взе</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решение</w:t>
      </w:r>
      <w:proofErr w:type="spellEnd"/>
      <w:r w:rsidR="00E168EE" w:rsidRPr="00A3092A">
        <w:rPr>
          <w:rFonts w:ascii="Times New Roman" w:hAnsi="Times New Roman"/>
          <w:sz w:val="20"/>
          <w:szCs w:val="20"/>
        </w:rPr>
        <w:t xml:space="preserve"> </w:t>
      </w:r>
      <w:r w:rsidR="004C0E43" w:rsidRPr="00A3092A">
        <w:rPr>
          <w:rFonts w:ascii="Times New Roman" w:hAnsi="Times New Roman"/>
          <w:sz w:val="20"/>
          <w:szCs w:val="20"/>
          <w:lang w:val="bg-BG"/>
        </w:rPr>
        <w:t>по</w:t>
      </w:r>
      <w:r w:rsidR="00E168EE" w:rsidRPr="00A3092A">
        <w:rPr>
          <w:rFonts w:ascii="Times New Roman" w:hAnsi="Times New Roman"/>
          <w:sz w:val="20"/>
          <w:szCs w:val="20"/>
        </w:rPr>
        <w:t xml:space="preserve"> чл.252, ал.1, т.1 </w:t>
      </w:r>
      <w:proofErr w:type="spellStart"/>
      <w:r w:rsidR="00E168EE" w:rsidRPr="00A3092A">
        <w:rPr>
          <w:rFonts w:ascii="Times New Roman" w:hAnsi="Times New Roman"/>
          <w:sz w:val="20"/>
          <w:szCs w:val="20"/>
        </w:rPr>
        <w:t>от</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Търговския</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закон</w:t>
      </w:r>
      <w:proofErr w:type="spellEnd"/>
      <w:r w:rsidR="00E168EE" w:rsidRPr="00A3092A">
        <w:rPr>
          <w:rFonts w:ascii="Times New Roman" w:hAnsi="Times New Roman"/>
          <w:sz w:val="20"/>
          <w:szCs w:val="20"/>
        </w:rPr>
        <w:t xml:space="preserve"> </w:t>
      </w:r>
      <w:r w:rsidR="004C0E43" w:rsidRPr="00A3092A">
        <w:rPr>
          <w:rFonts w:ascii="Times New Roman" w:hAnsi="Times New Roman"/>
          <w:sz w:val="20"/>
          <w:szCs w:val="20"/>
          <w:lang w:val="bg-BG"/>
        </w:rPr>
        <w:t>за</w:t>
      </w:r>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прекрат</w:t>
      </w:r>
      <w:proofErr w:type="spellEnd"/>
      <w:r w:rsidR="004C0E43" w:rsidRPr="00A3092A">
        <w:rPr>
          <w:rFonts w:ascii="Times New Roman" w:hAnsi="Times New Roman"/>
          <w:sz w:val="20"/>
          <w:szCs w:val="20"/>
          <w:lang w:val="bg-BG"/>
        </w:rPr>
        <w:t xml:space="preserve">явяне </w:t>
      </w:r>
      <w:proofErr w:type="spellStart"/>
      <w:r w:rsidR="00E168EE" w:rsidRPr="00A3092A">
        <w:rPr>
          <w:rFonts w:ascii="Times New Roman" w:hAnsi="Times New Roman"/>
          <w:sz w:val="20"/>
          <w:szCs w:val="20"/>
        </w:rPr>
        <w:t>дейността</w:t>
      </w:r>
      <w:proofErr w:type="spellEnd"/>
      <w:r w:rsidR="00E168EE" w:rsidRPr="00A3092A">
        <w:rPr>
          <w:rFonts w:ascii="Times New Roman" w:hAnsi="Times New Roman"/>
          <w:sz w:val="20"/>
          <w:szCs w:val="20"/>
        </w:rPr>
        <w:t xml:space="preserve">  и </w:t>
      </w:r>
      <w:r w:rsidRPr="00A3092A">
        <w:rPr>
          <w:rFonts w:ascii="Times New Roman" w:hAnsi="Times New Roman"/>
          <w:sz w:val="20"/>
          <w:szCs w:val="20"/>
          <w:lang w:val="bg-BG"/>
        </w:rPr>
        <w:t>обяв</w:t>
      </w:r>
      <w:r w:rsidR="004C0E43" w:rsidRPr="00A3092A">
        <w:rPr>
          <w:rFonts w:ascii="Times New Roman" w:hAnsi="Times New Roman"/>
          <w:sz w:val="20"/>
          <w:szCs w:val="20"/>
          <w:lang w:val="bg-BG"/>
        </w:rPr>
        <w:t>яване в</w:t>
      </w:r>
      <w:r w:rsidRPr="00A3092A">
        <w:rPr>
          <w:rFonts w:ascii="Times New Roman" w:hAnsi="Times New Roman"/>
          <w:sz w:val="20"/>
          <w:szCs w:val="20"/>
          <w:lang w:val="bg-BG"/>
        </w:rPr>
        <w:t xml:space="preserve"> </w:t>
      </w:r>
      <w:proofErr w:type="spellStart"/>
      <w:r w:rsidR="00E168EE" w:rsidRPr="00A3092A">
        <w:rPr>
          <w:rFonts w:ascii="Times New Roman" w:hAnsi="Times New Roman"/>
          <w:sz w:val="20"/>
          <w:szCs w:val="20"/>
        </w:rPr>
        <w:t>ликвидация</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Кабиле</w:t>
      </w:r>
      <w:proofErr w:type="spellEnd"/>
      <w:r w:rsidR="00E168EE" w:rsidRPr="00A3092A">
        <w:rPr>
          <w:rFonts w:ascii="Times New Roman" w:hAnsi="Times New Roman"/>
          <w:sz w:val="20"/>
          <w:szCs w:val="20"/>
        </w:rPr>
        <w:t xml:space="preserve">-ЛБ АД </w:t>
      </w:r>
      <w:r w:rsidR="004C0E43" w:rsidRPr="00A3092A">
        <w:rPr>
          <w:rFonts w:ascii="Times New Roman" w:hAnsi="Times New Roman"/>
          <w:sz w:val="20"/>
          <w:szCs w:val="20"/>
          <w:lang w:val="bg-BG"/>
        </w:rPr>
        <w:t xml:space="preserve">, </w:t>
      </w:r>
      <w:proofErr w:type="spellStart"/>
      <w:r w:rsidR="00E168EE" w:rsidRPr="00A3092A">
        <w:rPr>
          <w:rFonts w:ascii="Times New Roman" w:hAnsi="Times New Roman"/>
          <w:sz w:val="20"/>
          <w:szCs w:val="20"/>
        </w:rPr>
        <w:t>поради</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обстоятелството</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че</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чистата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стойност</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имуществото</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дружеството</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по</w:t>
      </w:r>
      <w:proofErr w:type="spellEnd"/>
      <w:r w:rsidR="00E168EE" w:rsidRPr="00A3092A">
        <w:rPr>
          <w:rFonts w:ascii="Times New Roman" w:hAnsi="Times New Roman"/>
          <w:sz w:val="20"/>
          <w:szCs w:val="20"/>
        </w:rPr>
        <w:t xml:space="preserve"> чл.247а, </w:t>
      </w:r>
      <w:proofErr w:type="spellStart"/>
      <w:r w:rsidR="00E168EE" w:rsidRPr="00A3092A">
        <w:rPr>
          <w:rFonts w:ascii="Times New Roman" w:hAnsi="Times New Roman"/>
          <w:sz w:val="20"/>
          <w:szCs w:val="20"/>
        </w:rPr>
        <w:t>ал</w:t>
      </w:r>
      <w:proofErr w:type="spellEnd"/>
      <w:r w:rsidR="00E168EE" w:rsidRPr="00A3092A">
        <w:rPr>
          <w:rFonts w:ascii="Times New Roman" w:hAnsi="Times New Roman"/>
          <w:sz w:val="20"/>
          <w:szCs w:val="20"/>
        </w:rPr>
        <w:t>. 2 </w:t>
      </w:r>
      <w:proofErr w:type="spellStart"/>
      <w:r w:rsidR="00E168EE" w:rsidRPr="00A3092A">
        <w:rPr>
          <w:rFonts w:ascii="Times New Roman" w:hAnsi="Times New Roman"/>
          <w:sz w:val="20"/>
          <w:szCs w:val="20"/>
        </w:rPr>
        <w:t>от</w:t>
      </w:r>
      <w:proofErr w:type="spellEnd"/>
      <w:r w:rsidR="00E168EE" w:rsidRPr="00A3092A">
        <w:rPr>
          <w:rFonts w:ascii="Times New Roman" w:hAnsi="Times New Roman"/>
          <w:sz w:val="20"/>
          <w:szCs w:val="20"/>
        </w:rPr>
        <w:t xml:space="preserve"> ТЗ е </w:t>
      </w:r>
      <w:proofErr w:type="spellStart"/>
      <w:r w:rsidR="00E168EE" w:rsidRPr="00A3092A">
        <w:rPr>
          <w:rFonts w:ascii="Times New Roman" w:hAnsi="Times New Roman"/>
          <w:sz w:val="20"/>
          <w:szCs w:val="20"/>
        </w:rPr>
        <w:t>под</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размера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вписания</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капитал</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избор</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ликвидатор</w:t>
      </w:r>
      <w:proofErr w:type="spellEnd"/>
      <w:r w:rsidR="00E168EE" w:rsidRPr="00A3092A">
        <w:rPr>
          <w:rFonts w:ascii="Times New Roman" w:hAnsi="Times New Roman"/>
          <w:sz w:val="20"/>
          <w:szCs w:val="20"/>
        </w:rPr>
        <w:t xml:space="preserve"> и </w:t>
      </w:r>
      <w:proofErr w:type="spellStart"/>
      <w:r w:rsidR="00E168EE" w:rsidRPr="00A3092A">
        <w:rPr>
          <w:rFonts w:ascii="Times New Roman" w:hAnsi="Times New Roman"/>
          <w:sz w:val="20"/>
          <w:szCs w:val="20"/>
        </w:rPr>
        <w:t>определяне</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на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срок</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за</w:t>
      </w:r>
      <w:proofErr w:type="spellEnd"/>
      <w:r w:rsidR="00E168EE" w:rsidRPr="00A3092A">
        <w:rPr>
          <w:rFonts w:ascii="Times New Roman" w:hAnsi="Times New Roman"/>
          <w:sz w:val="20"/>
          <w:szCs w:val="20"/>
        </w:rPr>
        <w:t xml:space="preserve"> </w:t>
      </w:r>
      <w:proofErr w:type="spellStart"/>
      <w:r w:rsidR="00E168EE" w:rsidRPr="00A3092A">
        <w:rPr>
          <w:rFonts w:ascii="Times New Roman" w:hAnsi="Times New Roman"/>
          <w:sz w:val="20"/>
          <w:szCs w:val="20"/>
        </w:rPr>
        <w:t>ликвидация</w:t>
      </w:r>
      <w:proofErr w:type="spellEnd"/>
      <w:r w:rsidR="00E168EE" w:rsidRPr="00A3092A">
        <w:rPr>
          <w:rFonts w:ascii="Times New Roman" w:hAnsi="Times New Roman"/>
          <w:sz w:val="20"/>
          <w:szCs w:val="20"/>
        </w:rPr>
        <w:t>.</w:t>
      </w:r>
    </w:p>
    <w:p w:rsidR="008E0881" w:rsidRPr="00A3092A" w:rsidRDefault="00E168EE" w:rsidP="00BD6BE6">
      <w:pPr>
        <w:pStyle w:val="Heading2"/>
        <w:spacing w:before="240" w:after="120" w:line="260" w:lineRule="atLeast"/>
        <w:rPr>
          <w:rFonts w:ascii="Times New Roman" w:hAnsi="Times New Roman"/>
          <w:color w:val="auto"/>
          <w:sz w:val="20"/>
          <w:szCs w:val="20"/>
          <w:lang w:val="bg-BG"/>
        </w:rPr>
      </w:pPr>
      <w:r w:rsidRPr="00A3092A">
        <w:rPr>
          <w:rFonts w:ascii="Times New Roman" w:hAnsi="Times New Roman"/>
          <w:color w:val="auto"/>
          <w:sz w:val="20"/>
          <w:szCs w:val="20"/>
          <w:lang w:val="bg-BG"/>
        </w:rPr>
        <w:t>1</w:t>
      </w:r>
      <w:r w:rsidR="000D322C" w:rsidRPr="00A3092A">
        <w:rPr>
          <w:rFonts w:ascii="Times New Roman" w:hAnsi="Times New Roman"/>
          <w:color w:val="auto"/>
          <w:sz w:val="20"/>
          <w:szCs w:val="20"/>
          <w:lang w:val="bg-BG"/>
        </w:rPr>
        <w:t>3</w:t>
      </w:r>
      <w:r w:rsidR="00BD6BE6" w:rsidRPr="00A3092A">
        <w:rPr>
          <w:rFonts w:ascii="Times New Roman" w:hAnsi="Times New Roman"/>
          <w:color w:val="auto"/>
          <w:sz w:val="20"/>
          <w:szCs w:val="20"/>
          <w:lang w:val="bg-BG"/>
        </w:rPr>
        <w:t>.</w:t>
      </w:r>
      <w:r w:rsidR="008E0881" w:rsidRPr="00A3092A">
        <w:rPr>
          <w:rFonts w:ascii="Times New Roman" w:hAnsi="Times New Roman"/>
          <w:color w:val="auto"/>
          <w:sz w:val="20"/>
          <w:szCs w:val="20"/>
          <w:lang w:val="bg-BG"/>
        </w:rPr>
        <w:t>База за измерване</w:t>
      </w:r>
      <w:bookmarkEnd w:id="22"/>
      <w:r w:rsidR="008E0881" w:rsidRPr="00A3092A">
        <w:rPr>
          <w:rFonts w:ascii="Times New Roman" w:hAnsi="Times New Roman"/>
          <w:color w:val="auto"/>
          <w:sz w:val="20"/>
          <w:szCs w:val="20"/>
          <w:lang w:val="bg-BG"/>
        </w:rPr>
        <w:t xml:space="preserve"> </w:t>
      </w:r>
    </w:p>
    <w:p w:rsidR="008E0881" w:rsidRPr="00BA7402" w:rsidRDefault="008E0881" w:rsidP="008E0881">
      <w:pPr>
        <w:pStyle w:val="Default"/>
        <w:spacing w:before="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bCs/>
          <w:color w:val="auto"/>
          <w:sz w:val="20"/>
          <w:szCs w:val="20"/>
          <w:lang w:val="bg-BG"/>
        </w:rPr>
        <w:t>Този финансов отчет е изготвен на базата на историческата стойност.</w:t>
      </w:r>
      <w:r w:rsidRPr="00BA7402">
        <w:rPr>
          <w:rFonts w:ascii="Times New Roman" w:hAnsi="Times New Roman" w:cs="Times New Roman"/>
          <w:color w:val="auto"/>
          <w:sz w:val="20"/>
          <w:szCs w:val="20"/>
          <w:lang w:val="bg-BG"/>
        </w:rPr>
        <w:t xml:space="preserve"> </w:t>
      </w:r>
    </w:p>
    <w:p w:rsidR="008E0881" w:rsidRPr="00BA7402" w:rsidRDefault="00BD6BE6" w:rsidP="00BD6BE6">
      <w:pPr>
        <w:pStyle w:val="Heading2"/>
        <w:spacing w:before="240" w:after="120" w:line="260" w:lineRule="atLeast"/>
        <w:rPr>
          <w:rFonts w:ascii="Times New Roman" w:hAnsi="Times New Roman"/>
          <w:color w:val="auto"/>
          <w:sz w:val="20"/>
          <w:szCs w:val="20"/>
          <w:lang w:val="bg-BG"/>
        </w:rPr>
      </w:pPr>
      <w:bookmarkStart w:id="23" w:name="_Toc515965336"/>
      <w:r>
        <w:rPr>
          <w:rFonts w:ascii="Times New Roman" w:hAnsi="Times New Roman"/>
          <w:color w:val="auto"/>
          <w:sz w:val="20"/>
          <w:szCs w:val="20"/>
          <w:lang w:val="bg-BG"/>
        </w:rPr>
        <w:t>1</w:t>
      </w:r>
      <w:r w:rsidR="000D322C">
        <w:rPr>
          <w:rFonts w:ascii="Times New Roman" w:hAnsi="Times New Roman"/>
          <w:color w:val="auto"/>
          <w:sz w:val="20"/>
          <w:szCs w:val="20"/>
          <w:lang w:val="bg-BG"/>
        </w:rPr>
        <w:t>4</w:t>
      </w:r>
      <w:r>
        <w:rPr>
          <w:rFonts w:ascii="Times New Roman" w:hAnsi="Times New Roman"/>
          <w:color w:val="auto"/>
          <w:sz w:val="20"/>
          <w:szCs w:val="20"/>
          <w:lang w:val="bg-BG"/>
        </w:rPr>
        <w:t>.</w:t>
      </w:r>
      <w:r w:rsidR="008E0881" w:rsidRPr="00BA7402">
        <w:rPr>
          <w:rFonts w:ascii="Times New Roman" w:hAnsi="Times New Roman"/>
          <w:color w:val="auto"/>
          <w:sz w:val="20"/>
          <w:szCs w:val="20"/>
          <w:lang w:val="bg-BG"/>
        </w:rPr>
        <w:t>Значими счетоводни политики</w:t>
      </w:r>
      <w:bookmarkEnd w:id="23"/>
      <w:r w:rsidR="008E0881" w:rsidRPr="00BA7402">
        <w:rPr>
          <w:rFonts w:ascii="Times New Roman" w:hAnsi="Times New Roman"/>
          <w:color w:val="auto"/>
          <w:sz w:val="20"/>
          <w:szCs w:val="20"/>
          <w:lang w:val="bg-BG"/>
        </w:rPr>
        <w:t xml:space="preserve">  </w:t>
      </w:r>
    </w:p>
    <w:p w:rsidR="008E0881" w:rsidRPr="00BA7402" w:rsidRDefault="008E0881" w:rsidP="008E0881">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Дружеството е приложило последователно значимите счетоводни политики</w:t>
      </w:r>
      <w:r w:rsidRPr="00BA7402">
        <w:rPr>
          <w:rFonts w:ascii="Times New Roman" w:hAnsi="Times New Roman" w:cs="Times New Roman"/>
          <w:bCs/>
          <w:color w:val="auto"/>
          <w:sz w:val="20"/>
          <w:szCs w:val="20"/>
        </w:rPr>
        <w:t>,</w:t>
      </w:r>
      <w:r w:rsidRPr="00BA7402">
        <w:rPr>
          <w:rFonts w:ascii="Times New Roman" w:hAnsi="Times New Roman" w:cs="Times New Roman"/>
          <w:bCs/>
          <w:color w:val="auto"/>
          <w:sz w:val="20"/>
          <w:szCs w:val="20"/>
          <w:lang w:val="bg-BG"/>
        </w:rPr>
        <w:t xml:space="preserve"> представени по-долу</w:t>
      </w:r>
      <w:r w:rsidRPr="00BA7402">
        <w:rPr>
          <w:rFonts w:ascii="Times New Roman" w:hAnsi="Times New Roman" w:cs="Times New Roman"/>
          <w:bCs/>
          <w:color w:val="auto"/>
          <w:sz w:val="20"/>
          <w:szCs w:val="20"/>
        </w:rPr>
        <w:t>,</w:t>
      </w:r>
      <w:r w:rsidRPr="00BA7402">
        <w:rPr>
          <w:rFonts w:ascii="Times New Roman" w:hAnsi="Times New Roman" w:cs="Times New Roman"/>
          <w:bCs/>
          <w:color w:val="auto"/>
          <w:sz w:val="20"/>
          <w:szCs w:val="20"/>
          <w:lang w:val="bg-BG"/>
        </w:rPr>
        <w:t xml:space="preserve"> за всички периоди, представени в този финансов отчет.</w:t>
      </w:r>
    </w:p>
    <w:p w:rsidR="008E0881" w:rsidRPr="00BA7402" w:rsidRDefault="008E0881" w:rsidP="008E0881">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По-долу е представен индекс на значимите счетоводни политики, за които повече информация е налична на следващите страници:</w:t>
      </w:r>
    </w:p>
    <w:p w:rsidR="00741FB9" w:rsidRPr="00BD6BE6" w:rsidRDefault="00741FB9" w:rsidP="00741FB9">
      <w:pPr>
        <w:pStyle w:val="Default"/>
        <w:spacing w:before="120" w:after="120" w:line="260" w:lineRule="atLeast"/>
        <w:jc w:val="both"/>
        <w:rPr>
          <w:rFonts w:ascii="Times New Roman" w:hAnsi="Times New Roman" w:cs="Times New Roman"/>
          <w:b/>
          <w:bCs/>
          <w:color w:val="auto"/>
          <w:sz w:val="20"/>
          <w:szCs w:val="20"/>
          <w:lang w:val="bg-BG"/>
        </w:rPr>
      </w:pPr>
      <w:r w:rsidRPr="00BD6BE6">
        <w:rPr>
          <w:rFonts w:ascii="Times New Roman" w:hAnsi="Times New Roman" w:cs="Times New Roman"/>
          <w:b/>
          <w:bCs/>
          <w:color w:val="auto"/>
          <w:sz w:val="20"/>
          <w:szCs w:val="20"/>
          <w:lang w:val="bg-BG"/>
        </w:rPr>
        <w:t>(а)  Приходи</w:t>
      </w:r>
    </w:p>
    <w:p w:rsidR="00741FB9" w:rsidRPr="00BA7402" w:rsidRDefault="00BD6BE6" w:rsidP="00741FB9">
      <w:pPr>
        <w:pStyle w:val="Default"/>
        <w:spacing w:before="120" w:after="120" w:line="260" w:lineRule="atLeast"/>
        <w:jc w:val="both"/>
        <w:rPr>
          <w:rFonts w:ascii="Times New Roman" w:hAnsi="Times New Roman" w:cs="Times New Roman"/>
          <w:bCs/>
          <w:color w:val="auto"/>
          <w:sz w:val="20"/>
          <w:szCs w:val="20"/>
          <w:lang w:val="bg-BG"/>
        </w:rPr>
      </w:pPr>
      <w:r>
        <w:rPr>
          <w:rFonts w:ascii="Times New Roman" w:hAnsi="Times New Roman" w:cs="Times New Roman"/>
          <w:bCs/>
          <w:color w:val="auto"/>
          <w:sz w:val="20"/>
          <w:szCs w:val="20"/>
          <w:lang w:val="bg-BG"/>
        </w:rPr>
        <w:tab/>
      </w:r>
      <w:r w:rsidR="00741FB9" w:rsidRPr="00BA7402">
        <w:rPr>
          <w:rFonts w:ascii="Times New Roman" w:hAnsi="Times New Roman" w:cs="Times New Roman"/>
          <w:bCs/>
          <w:color w:val="auto"/>
          <w:sz w:val="20"/>
          <w:szCs w:val="20"/>
          <w:lang w:val="bg-BG"/>
        </w:rPr>
        <w:t>Приходи от продажба на стоки</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 xml:space="preserve">Приход се признава, когато съществените рискове от собствеността са прехвърлени към купувача, получаването на възнаграждението е вероятно, свързаните разходи и възможните връщания на стоки могат да се определят надеждно, няма продължаваща свързаност на ръководството със стоките и сумата на прихода може да се измери надеждно. Приходите се признават нетно от връщания, търговски отстъпки и количествени рабати. </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Прехвърлянето на рисковете и изгодите варира според конкретните условия на договора за продажба. При продажба на някои продукти, трансфер настъпва след получаването им от клиента.</w:t>
      </w:r>
    </w:p>
    <w:p w:rsidR="00741FB9" w:rsidRPr="00BA7402" w:rsidRDefault="00741FB9" w:rsidP="00BD6BE6">
      <w:pPr>
        <w:pStyle w:val="Default"/>
        <w:spacing w:before="120" w:after="120" w:line="260" w:lineRule="atLeast"/>
        <w:ind w:firstLine="720"/>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Приходи от услуги</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 xml:space="preserve">Дружеството признава приходи от предоставени услуги според степента на завършеност на сделката към отчетната дата. Степента на завършеност се определя чрез анализ на завършената работа. </w:t>
      </w:r>
    </w:p>
    <w:p w:rsidR="00741FB9" w:rsidRPr="00BA7402" w:rsidRDefault="00741FB9" w:rsidP="00BD6BE6">
      <w:pPr>
        <w:pStyle w:val="Default"/>
        <w:spacing w:before="120" w:after="120" w:line="260" w:lineRule="atLeast"/>
        <w:ind w:firstLine="720"/>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Комисионни приходи</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Когато Дружеството действа в качеството си на агент, а не на принципал по дадена транзакция, признатият приход е нетната сума на комисионата, получена от Дружеството.</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ab/>
        <w:t>Приходи от наеми на инвестиционни имоти</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Приходите от наеми от инвестиционни имоти се признават по линеен метод за срока на наема. Лизингови стимули се признават като неделима част от общия приход от наем за срока на наема. Приходи от наем от други имоти се признават като други приходи.</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(б)  Безвъзмездни средства, предоставени от държавата</w:t>
      </w:r>
    </w:p>
    <w:p w:rsidR="00741FB9" w:rsidRPr="00BA7402" w:rsidRDefault="00741FB9" w:rsidP="00741FB9">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 xml:space="preserve">Дружеството признава безвъзмездни средства, предоставени от държавата, първоначално като отсрочени приходи по справедлива стойност, когато има достатъчна сигурност, че ще бъдат получени и че Дружеството ще изпълни условията, свързани със средствата; след това те се признават в печалби и загуби като други приходи на систематична база за полезния живот на актива. </w:t>
      </w:r>
    </w:p>
    <w:p w:rsidR="008E0881" w:rsidRPr="00BA7402" w:rsidRDefault="00741FB9" w:rsidP="00E702EA">
      <w:pPr>
        <w:pStyle w:val="Default"/>
        <w:spacing w:before="120" w:after="120" w:line="260" w:lineRule="atLeast"/>
        <w:jc w:val="both"/>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Безвъзмездни средства, които компенсират Дружеството за извършени разходи, се признават в печалби и загуби на систематична база в периодит</w:t>
      </w:r>
      <w:r w:rsidR="00E702EA" w:rsidRPr="00BA7402">
        <w:rPr>
          <w:rFonts w:ascii="Times New Roman" w:hAnsi="Times New Roman" w:cs="Times New Roman"/>
          <w:bCs/>
          <w:color w:val="auto"/>
          <w:sz w:val="20"/>
          <w:szCs w:val="20"/>
          <w:lang w:val="bg-BG"/>
        </w:rPr>
        <w:t>е, в които възникват разходи.</w:t>
      </w:r>
    </w:p>
    <w:p w:rsidR="00E168EE" w:rsidRDefault="00E168EE" w:rsidP="00741FB9">
      <w:pPr>
        <w:pStyle w:val="Heading3"/>
        <w:spacing w:before="120" w:after="120" w:line="260" w:lineRule="atLeast"/>
        <w:jc w:val="both"/>
        <w:rPr>
          <w:rFonts w:ascii="Times New Roman" w:hAnsi="Times New Roman"/>
          <w:color w:val="auto"/>
          <w:sz w:val="20"/>
          <w:szCs w:val="20"/>
          <w:lang w:val="bg-BG"/>
        </w:rPr>
      </w:pPr>
    </w:p>
    <w:p w:rsidR="00741FB9" w:rsidRPr="00BA7402" w:rsidRDefault="00741FB9" w:rsidP="00741FB9">
      <w:pPr>
        <w:pStyle w:val="Heading3"/>
        <w:spacing w:before="120"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в</w:t>
      </w:r>
      <w:r w:rsidRPr="00BA7402">
        <w:rPr>
          <w:rFonts w:ascii="Times New Roman" w:hAnsi="Times New Roman"/>
          <w:color w:val="auto"/>
          <w:sz w:val="20"/>
          <w:szCs w:val="20"/>
          <w:lang w:val="bg-BG"/>
        </w:rPr>
        <w:t>)  Финансови приходи и разходи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Финансовите приходи и разходи на Дружеството включват:</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приходи от лихви;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lastRenderedPageBreak/>
        <w:t>разходи за лихви;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приход от дивиденти;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дивиденти за преференциални акции, класифицирани като пасиви;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нетна печалба или загуба при отписване на финансови активи на разположение за продажба;</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нетна печалба или загуба от финансови активи, отчитани по справедлива стойност през печалбата или загубата;</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валутни курсови печалби или загуби от финансови активи и финансови пасиви;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обезценка на финансови активи (различни от търговски вземания);</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нетна печалба или загуба от хеджинг инструменти, които са признати в печалбата или загубата; и</w:t>
      </w:r>
    </w:p>
    <w:p w:rsidR="00741FB9" w:rsidRPr="00BA7402" w:rsidRDefault="00741FB9" w:rsidP="00741FB9">
      <w:pPr>
        <w:pStyle w:val="Default"/>
        <w:numPr>
          <w:ilvl w:val="0"/>
          <w:numId w:val="12"/>
        </w:numPr>
        <w:spacing w:before="60" w:line="260" w:lineRule="atLeast"/>
        <w:ind w:left="346" w:hanging="346"/>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рекласификацията на нетна печалба, призната преди в ДВД.</w:t>
      </w:r>
    </w:p>
    <w:p w:rsidR="00E702EA"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Лихвени приходи или разходи се признават използвайки метода на ефективния лихвен процент. Приход от дивидент се признава в печалбата или загубата на датата, на която е установено правото на </w:t>
      </w:r>
    </w:p>
    <w:p w:rsidR="00741FB9" w:rsidRPr="00BA7402" w:rsidRDefault="00741FB9" w:rsidP="00741FB9">
      <w:pPr>
        <w:pStyle w:val="Default"/>
        <w:spacing w:before="120" w:after="120" w:line="260" w:lineRule="atLeast"/>
        <w:jc w:val="both"/>
        <w:rPr>
          <w:rFonts w:ascii="Times New Roman" w:hAnsi="Times New Roman" w:cs="Times New Roman"/>
          <w:b/>
          <w:bCs/>
          <w:color w:val="auto"/>
          <w:sz w:val="20"/>
          <w:szCs w:val="20"/>
          <w:lang w:val="bg-BG"/>
        </w:rPr>
      </w:pPr>
      <w:r w:rsidRPr="00BA7402">
        <w:rPr>
          <w:rFonts w:ascii="Times New Roman" w:hAnsi="Times New Roman" w:cs="Times New Roman"/>
          <w:color w:val="auto"/>
          <w:sz w:val="20"/>
          <w:szCs w:val="20"/>
          <w:lang w:val="bg-BG"/>
        </w:rPr>
        <w:t>Дружеството да получи плащане.</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г</w:t>
      </w:r>
      <w:r w:rsidRPr="00BA7402">
        <w:rPr>
          <w:rFonts w:ascii="Times New Roman" w:hAnsi="Times New Roman"/>
          <w:color w:val="auto"/>
          <w:sz w:val="20"/>
          <w:szCs w:val="20"/>
          <w:lang w:val="bg-BG"/>
        </w:rPr>
        <w:t>)  Чуждестранна валута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Сделките в чуждестранна валута се преизчисляват във функционалната валута на Дружеството по обменните курсове на датите на транзакциите. </w:t>
      </w:r>
    </w:p>
    <w:p w:rsidR="00741FB9" w:rsidRPr="00BA7402" w:rsidRDefault="00741FB9" w:rsidP="00741FB9">
      <w:pPr>
        <w:pStyle w:val="Default"/>
        <w:spacing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Парични активи и пасиви, деноминирани в чужда валута, се преизчисляват във функционалната валута по обменния курс към отчетната дата. Не-парични активи и пасиви, които се оценяват по справедлива стойност в чуждестранна валута, се преизчисляват във функционалната валута по курса на датата, на която справедливата стойност е определена. Непарични позиции, които се оценяват по историческа цена в чуждестранна валута, не се преизчисляват.</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Курсови разлики, възникващи от </w:t>
      </w:r>
      <w:bookmarkStart w:id="24" w:name="OLE_LINK2"/>
      <w:r w:rsidRPr="00BA7402">
        <w:rPr>
          <w:rFonts w:ascii="Times New Roman" w:hAnsi="Times New Roman" w:cs="Times New Roman"/>
          <w:color w:val="auto"/>
          <w:sz w:val="20"/>
          <w:szCs w:val="20"/>
          <w:lang w:val="bg-BG"/>
        </w:rPr>
        <w:t xml:space="preserve">преизчислението </w:t>
      </w:r>
      <w:bookmarkEnd w:id="24"/>
      <w:r w:rsidRPr="00BA7402">
        <w:rPr>
          <w:rFonts w:ascii="Times New Roman" w:hAnsi="Times New Roman" w:cs="Times New Roman"/>
          <w:color w:val="auto"/>
          <w:sz w:val="20"/>
          <w:szCs w:val="20"/>
          <w:lang w:val="bg-BG"/>
        </w:rPr>
        <w:t xml:space="preserve">на следните позиции се признават в ДВД: </w:t>
      </w:r>
    </w:p>
    <w:p w:rsidR="00741FB9" w:rsidRPr="00BA7402" w:rsidRDefault="00741FB9" w:rsidP="00741FB9">
      <w:pPr>
        <w:pStyle w:val="Default"/>
        <w:numPr>
          <w:ilvl w:val="0"/>
          <w:numId w:val="9"/>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капиталови инструменти на разположение за продажба (освен при обезценка, когато валутните курсови разлики признати в друг всеобхватен доход се рекласифицират в печалби и загуби); или </w:t>
      </w:r>
    </w:p>
    <w:p w:rsidR="00741FB9" w:rsidRPr="00BA7402" w:rsidRDefault="00741FB9" w:rsidP="00741FB9">
      <w:pPr>
        <w:pStyle w:val="Default"/>
        <w:numPr>
          <w:ilvl w:val="0"/>
          <w:numId w:val="9"/>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отговарящи на условията хеджинги на паричен поток, доколкото хеджингите са ефективни.</w:t>
      </w:r>
    </w:p>
    <w:p w:rsidR="00B71B5F" w:rsidRPr="00BA7402" w:rsidRDefault="00B71B5F" w:rsidP="00B71B5F">
      <w:pPr>
        <w:pStyle w:val="Default"/>
        <w:spacing w:before="120" w:after="120" w:line="260" w:lineRule="atLeast"/>
        <w:jc w:val="both"/>
        <w:rPr>
          <w:rFonts w:ascii="Times New Roman" w:hAnsi="Times New Roman" w:cs="Times New Roman"/>
          <w:color w:val="auto"/>
          <w:sz w:val="20"/>
          <w:szCs w:val="20"/>
          <w:lang w:val="bg-BG"/>
        </w:rPr>
      </w:pPr>
    </w:p>
    <w:p w:rsidR="00741FB9" w:rsidRPr="00BA7402" w:rsidRDefault="00741FB9" w:rsidP="00741FB9">
      <w:pPr>
        <w:pStyle w:val="Heading3"/>
        <w:spacing w:after="120" w:line="260" w:lineRule="atLeast"/>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д</w:t>
      </w:r>
      <w:r w:rsidRPr="00BA7402">
        <w:rPr>
          <w:rFonts w:ascii="Times New Roman" w:hAnsi="Times New Roman"/>
          <w:color w:val="auto"/>
          <w:sz w:val="20"/>
          <w:szCs w:val="20"/>
          <w:lang w:val="bg-BG"/>
        </w:rPr>
        <w:t>)  Данъци върху дохода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Данъкът върху печалбата за годината представлява текущи и отсрочени данъци. Данъкът върху печалбата се признава в печалби и загуби, с изключение на този, отнасящ се за бизнес комбинации или за статии, които са признати директно в собствения капитал, или в друг всеобхватен доход.</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Текущ данък</w:t>
      </w:r>
    </w:p>
    <w:p w:rsidR="00741FB9" w:rsidRPr="00BA7402" w:rsidRDefault="00741FB9" w:rsidP="00741FB9">
      <w:pPr>
        <w:pStyle w:val="Default"/>
        <w:spacing w:before="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Текущият данък е очакваното данъчно задължение или вземане върху облагаемата печалба или загуба за годината, прилагайки данъчните ставки, влезли в сила, или по същество въведени към отчетната дата, и всички корекции за данъчни задължения или вземания за предходни години. Текущият данък включва също данъчни ефекти от дивиденти.</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Отсрочен данък</w:t>
      </w:r>
    </w:p>
    <w:p w:rsidR="00741FB9" w:rsidRPr="00BA7402" w:rsidRDefault="00741FB9" w:rsidP="00741FB9">
      <w:pPr>
        <w:pStyle w:val="Default"/>
        <w:spacing w:before="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Отсрочените данъци се изчисляват върху временните разлики между сумите на активите и пасивите, признати във финансовия отчет, и сумите използвани за данъчни цели. Отсрочен данък не се признава за:</w:t>
      </w:r>
    </w:p>
    <w:p w:rsidR="00741FB9" w:rsidRPr="00BA7402" w:rsidRDefault="00741FB9" w:rsidP="00741FB9">
      <w:pPr>
        <w:pStyle w:val="CM19"/>
        <w:numPr>
          <w:ilvl w:val="0"/>
          <w:numId w:val="1"/>
        </w:numPr>
        <w:tabs>
          <w:tab w:val="clear" w:pos="340"/>
          <w:tab w:val="num" w:pos="430"/>
        </w:tabs>
        <w:ind w:left="430"/>
        <w:jc w:val="both"/>
        <w:rPr>
          <w:rFonts w:ascii="Times New Roman" w:hAnsi="Times New Roman"/>
          <w:sz w:val="20"/>
          <w:szCs w:val="20"/>
          <w:lang w:val="bg-BG"/>
        </w:rPr>
      </w:pPr>
      <w:r w:rsidRPr="00BA7402">
        <w:rPr>
          <w:rFonts w:ascii="Times New Roman" w:hAnsi="Times New Roman"/>
          <w:sz w:val="20"/>
          <w:szCs w:val="20"/>
          <w:lang w:val="bg-BG"/>
        </w:rPr>
        <w:t>временни разлики от първоначално признаване на активи и пасиви при сделка, която не е бизнес комбинация и която не засяга печалби и загуби, нито за счетоводни, нито за данъчни цели;</w:t>
      </w:r>
    </w:p>
    <w:p w:rsidR="00741FB9" w:rsidRPr="00BA7402" w:rsidRDefault="00741FB9" w:rsidP="00741FB9">
      <w:pPr>
        <w:pStyle w:val="CM19"/>
        <w:numPr>
          <w:ilvl w:val="0"/>
          <w:numId w:val="1"/>
        </w:numPr>
        <w:tabs>
          <w:tab w:val="clear" w:pos="340"/>
          <w:tab w:val="num" w:pos="430"/>
        </w:tabs>
        <w:ind w:left="430"/>
        <w:jc w:val="both"/>
        <w:rPr>
          <w:rFonts w:ascii="Times New Roman" w:hAnsi="Times New Roman"/>
          <w:sz w:val="20"/>
          <w:szCs w:val="20"/>
          <w:lang w:val="bg-BG"/>
        </w:rPr>
      </w:pPr>
      <w:r w:rsidRPr="00BA7402">
        <w:rPr>
          <w:rFonts w:ascii="Times New Roman" w:hAnsi="Times New Roman"/>
          <w:sz w:val="20"/>
          <w:szCs w:val="20"/>
          <w:lang w:val="bg-BG"/>
        </w:rPr>
        <w:t>разлики, свързани с инвестиции в дъщерни предприятия и съвместно контролирани предприятия, доколкото е вероятно, че те няма да имат обратно проявление в обозримото бъдеще; и</w:t>
      </w:r>
    </w:p>
    <w:p w:rsidR="00741FB9" w:rsidRPr="00BA7402" w:rsidRDefault="00741FB9" w:rsidP="00741FB9">
      <w:pPr>
        <w:pStyle w:val="CM19"/>
        <w:numPr>
          <w:ilvl w:val="0"/>
          <w:numId w:val="1"/>
        </w:numPr>
        <w:tabs>
          <w:tab w:val="clear" w:pos="340"/>
          <w:tab w:val="num" w:pos="430"/>
        </w:tabs>
        <w:ind w:left="430"/>
        <w:jc w:val="both"/>
        <w:rPr>
          <w:rFonts w:ascii="Times New Roman" w:hAnsi="Times New Roman"/>
          <w:sz w:val="20"/>
          <w:szCs w:val="20"/>
          <w:lang w:val="bg-BG"/>
        </w:rPr>
      </w:pPr>
      <w:r w:rsidRPr="00BA7402">
        <w:rPr>
          <w:rFonts w:ascii="Times New Roman" w:hAnsi="Times New Roman"/>
          <w:sz w:val="20"/>
          <w:szCs w:val="20"/>
          <w:lang w:val="bg-BG"/>
        </w:rPr>
        <w:lastRenderedPageBreak/>
        <w:t>облагаеми временни разлики, възникващи от първоначално признаване на репутация.</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Отсрочен данък се оценява по данъчните ставки, които се очаква да се прилагат за временните разлики когато те се проявяват обратно, на базата на закони, които са в сила, или са въведени по същество към отчетната дата.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Отсрочените данъчни активи и пасиви се компенсират само ако има правно основание за приспадане на текущи данъчни активи и пасиви, и те се отнасят до данъци върху печалбата, наложени от едни и същи данъчни власти.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Актив по отсрочени данъци се начислява за неизползваните данъчни загуби, кредити и приспадащи се временни разлики, доколкото е вероятно бъдеща облагаема печалба да бъде налична, срещу която те да могат да бъдат използвани. Отсрочените данъчни активи се преглеждат към всяка отчетна дата и се намаляват доколкото не е вероятно повече бъдеща изгода да бъде реализирана.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При определянето на текущия и отсрочения данък Дружеството взема предвид ефекта от несигурни данъчни позиции и дали допълнителни данъци или лихви може да са дължими. Дружеството смята, че начисленията за данъчни задължения са адекватни за всички отворени данъчни години на базата на оценката на много фактори, включително интерпретиране на данъчни закони и предишен опит. Тази оценка се основава на приблизителни оценки и допускания и може да включва преценки за бъдещи събития. Може да се появи нова информация, според която Дружеството да промени своите преценки за адекватността на съществуващите данъчни задължения; такива промени в данъчните задължения биха засегнали разхода за данъци в периода, когато такова определяне бъде направено.</w:t>
      </w:r>
    </w:p>
    <w:p w:rsidR="00731B06" w:rsidRPr="00BA7402" w:rsidRDefault="00741FB9" w:rsidP="00731B06">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е</w:t>
      </w:r>
      <w:r w:rsidRPr="00BA7402">
        <w:rPr>
          <w:rFonts w:ascii="Times New Roman" w:hAnsi="Times New Roman"/>
          <w:color w:val="auto"/>
          <w:sz w:val="20"/>
          <w:szCs w:val="20"/>
          <w:lang w:val="bg-BG"/>
        </w:rPr>
        <w:t>)  Материални запаси</w:t>
      </w:r>
    </w:p>
    <w:p w:rsidR="00741FB9" w:rsidRPr="00BA7402" w:rsidRDefault="00741FB9" w:rsidP="00731B06">
      <w:pPr>
        <w:pStyle w:val="Heading3"/>
        <w:spacing w:after="120" w:line="260" w:lineRule="atLeast"/>
        <w:jc w:val="both"/>
        <w:rPr>
          <w:rFonts w:ascii="Times New Roman" w:hAnsi="Times New Roman"/>
          <w:b w:val="0"/>
          <w:color w:val="auto"/>
          <w:sz w:val="20"/>
          <w:szCs w:val="20"/>
          <w:lang w:val="bg-BG"/>
        </w:rPr>
      </w:pPr>
      <w:r w:rsidRPr="00BA7402">
        <w:rPr>
          <w:rFonts w:ascii="Times New Roman" w:hAnsi="Times New Roman"/>
          <w:b w:val="0"/>
          <w:color w:val="auto"/>
          <w:sz w:val="20"/>
          <w:szCs w:val="20"/>
          <w:lang w:val="bg-BG"/>
        </w:rPr>
        <w:t xml:space="preserve">Материалните запаси се отчитат по по-ниската от тяхната себестойност и нетна реализируема стойност. Себестойността на материалните запаси се базира на принципа „първа входяща – първа изходяща”. В случая на произведена продукция и незавършено производство, себестойността включва подходящ дял от общопроизводствените разходи, базиран на нормалния оперативен капацитет. </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w:t>
      </w:r>
      <w:r w:rsidR="000D322C">
        <w:rPr>
          <w:rFonts w:ascii="Times New Roman" w:hAnsi="Times New Roman"/>
          <w:color w:val="auto"/>
          <w:sz w:val="20"/>
          <w:szCs w:val="20"/>
          <w:lang w:val="bg-BG"/>
        </w:rPr>
        <w:t>ж</w:t>
      </w:r>
      <w:r w:rsidRPr="00BA7402">
        <w:rPr>
          <w:rFonts w:ascii="Times New Roman" w:hAnsi="Times New Roman"/>
          <w:color w:val="auto"/>
          <w:sz w:val="20"/>
          <w:szCs w:val="20"/>
          <w:lang w:val="bg-BG"/>
        </w:rPr>
        <w:t>)  Нетекущи активи държани за продажба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Нетекущи активи, или групи за изваждане от употреба, съставени от активи и пасиви, се класифицират като държани за продажба, ако е много вероятно, че стойността им ще бъде възстановена основно чрез продажба, а не чрез продължаваща употреба.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Такива активи, или група за изваждане от употреба, обикновено се оценяват по по-ниската от тяхната балансова стойност и справедливата стойност, намалена с разходите за продажба. Всяка загуба от обезценка на група за изваждане от употреба се разпределя към активите и пасивите на пропорционална основа, с изключението че загуба не се разпределя за материалните запаси, финансови активи, отсрочени данъчни активи и инвестиционни имоти, които продължават да се отчитат в съответствие със счетоводните политики на Дружеството. Загуби от обезценка при първоначално класифициране като държани за продажба и последващи печалби или загуби от преоценка, се признават в печалби и загуби. </w:t>
      </w:r>
    </w:p>
    <w:p w:rsidR="00741FB9" w:rsidRPr="00BA7402" w:rsidRDefault="00731B06"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w:t>
      </w:r>
      <w:r w:rsidR="00741FB9"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з</w:t>
      </w:r>
      <w:r w:rsidR="00741FB9" w:rsidRPr="00BA7402">
        <w:rPr>
          <w:rFonts w:ascii="Times New Roman" w:hAnsi="Times New Roman"/>
          <w:color w:val="auto"/>
          <w:sz w:val="20"/>
          <w:szCs w:val="20"/>
          <w:lang w:val="bg-BG"/>
        </w:rPr>
        <w:t>)  Имоти, машини, съоръжения и оборудване</w:t>
      </w:r>
    </w:p>
    <w:p w:rsidR="00741FB9" w:rsidRPr="00BA7402" w:rsidRDefault="00741FB9" w:rsidP="00BD6BE6">
      <w:pPr>
        <w:pStyle w:val="Heading4"/>
        <w:spacing w:line="260" w:lineRule="atLeast"/>
        <w:ind w:firstLine="720"/>
        <w:jc w:val="both"/>
        <w:rPr>
          <w:rFonts w:ascii="Times New Roman" w:hAnsi="Times New Roman"/>
          <w:color w:val="auto"/>
          <w:sz w:val="20"/>
          <w:szCs w:val="20"/>
          <w:lang w:val="bg-BG"/>
        </w:rPr>
      </w:pPr>
      <w:r w:rsidRPr="00BA7402">
        <w:rPr>
          <w:rFonts w:ascii="Times New Roman" w:hAnsi="Times New Roman"/>
          <w:color w:val="auto"/>
          <w:sz w:val="20"/>
          <w:szCs w:val="20"/>
          <w:lang w:val="bg-BG"/>
        </w:rPr>
        <w:t>Признаване и оценка</w:t>
      </w:r>
    </w:p>
    <w:p w:rsidR="00731B06" w:rsidRPr="00BA7402" w:rsidRDefault="00731B06" w:rsidP="00741FB9">
      <w:pPr>
        <w:pStyle w:val="Default"/>
        <w:spacing w:before="120" w:after="120" w:line="260" w:lineRule="atLeast"/>
        <w:jc w:val="both"/>
        <w:rPr>
          <w:rFonts w:ascii="Times New Roman" w:hAnsi="Times New Roman" w:cs="Times New Roman"/>
          <w:i/>
          <w:color w:val="auto"/>
          <w:sz w:val="20"/>
          <w:szCs w:val="20"/>
          <w:lang w:val="bg-BG"/>
        </w:rPr>
      </w:pPr>
      <w:r w:rsidRPr="00BA7402">
        <w:rPr>
          <w:rFonts w:ascii="Times New Roman" w:hAnsi="Times New Roman" w:cs="Times New Roman"/>
          <w:i/>
          <w:color w:val="auto"/>
          <w:sz w:val="20"/>
          <w:szCs w:val="20"/>
          <w:lang w:val="bg-BG"/>
        </w:rPr>
        <w:t>Първоначално признаване</w:t>
      </w:r>
    </w:p>
    <w:p w:rsidR="00741FB9" w:rsidRPr="00BA7402" w:rsidRDefault="00741FB9" w:rsidP="00741FB9">
      <w:pPr>
        <w:pStyle w:val="Default"/>
        <w:spacing w:before="120" w:after="120" w:line="260" w:lineRule="atLeast"/>
        <w:jc w:val="both"/>
        <w:rPr>
          <w:rFonts w:ascii="Times New Roman" w:hAnsi="Times New Roman" w:cs="Times New Roman"/>
          <w:i/>
          <w:color w:val="auto"/>
          <w:sz w:val="20"/>
          <w:szCs w:val="20"/>
          <w:lang w:val="bg-BG"/>
        </w:rPr>
      </w:pPr>
      <w:r w:rsidRPr="00BA7402">
        <w:rPr>
          <w:rFonts w:ascii="Times New Roman" w:hAnsi="Times New Roman" w:cs="Times New Roman"/>
          <w:color w:val="auto"/>
          <w:sz w:val="20"/>
          <w:szCs w:val="20"/>
          <w:lang w:val="bg-BG"/>
        </w:rPr>
        <w:t>Имотите, машините, съоръженията и оборудването се оценяват по цена на придобиване, намалена с натрупани амортизации и загуби от обезценка.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Когато в имотите, машините, съоръженията и оборудването се съдържат компоненти с различна продължителност на полезен живот, те се отчитат отделно (основни компоненти).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Печалби и загуби при отписване на имоти, машини, съоръжения и оборудване се признават в печалбата или загубата. Когато преоценени активи се продадат, сумите, включени в преоценъчен резерв, се </w:t>
      </w:r>
      <w:r w:rsidRPr="00BA7402">
        <w:rPr>
          <w:rFonts w:ascii="Times New Roman" w:hAnsi="Times New Roman" w:cs="Times New Roman"/>
          <w:color w:val="auto"/>
          <w:sz w:val="20"/>
          <w:szCs w:val="20"/>
          <w:lang w:val="bg-BG"/>
        </w:rPr>
        <w:lastRenderedPageBreak/>
        <w:t>рекласифицират в неразпределена печалба или загуба.</w:t>
      </w:r>
    </w:p>
    <w:p w:rsidR="00741FB9" w:rsidRPr="00BA7402" w:rsidRDefault="00741FB9" w:rsidP="00BD6BE6">
      <w:pPr>
        <w:pStyle w:val="Heading4"/>
        <w:spacing w:line="260" w:lineRule="atLeast"/>
        <w:ind w:left="720"/>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Рекласификация към инвестиционни имоти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Когато употребата на даден имот се промени от имот, ползван от собственика на инвестиционен имот, то тогава имотът се преоценява до справедлива стойност и се рекласифицира като инвестиционен имот. Всяка печалба, възникнала от тази преоценка, се признава в печалби и загуби, доколкото тя обръща предходна загуба от обезценка за специфичния имот, като всяка остатъчна печалба се признава в ДВД и се представя в преоценъчния резерв. Всяка загуба се признава в печалбата или загубата.</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Последващи разходи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Последващи разходи се капитализират само когато е вероятно, че бъдещи икономически ползи от тези разходи ще бъдат получени от Дружеството.</w:t>
      </w:r>
    </w:p>
    <w:p w:rsidR="00741FB9" w:rsidRPr="00BA7402" w:rsidRDefault="00741FB9" w:rsidP="00741FB9">
      <w:pPr>
        <w:pStyle w:val="CM1"/>
        <w:tabs>
          <w:tab w:val="left" w:pos="426"/>
        </w:tabs>
        <w:spacing w:before="200"/>
        <w:jc w:val="both"/>
        <w:rPr>
          <w:rFonts w:ascii="Times New Roman" w:hAnsi="Times New Roman"/>
          <w:b/>
          <w:bCs/>
          <w:i/>
          <w:sz w:val="20"/>
          <w:szCs w:val="20"/>
          <w:lang w:val="bg-BG"/>
        </w:rPr>
      </w:pPr>
      <w:r w:rsidRPr="00BA7402">
        <w:rPr>
          <w:rFonts w:ascii="Times New Roman" w:hAnsi="Times New Roman"/>
          <w:b/>
          <w:bCs/>
          <w:i/>
          <w:sz w:val="20"/>
          <w:szCs w:val="20"/>
          <w:lang w:val="bg-BG"/>
        </w:rPr>
        <w:tab/>
        <w:t>Амортизация</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Амортизацията се изчислява така, че да се изпише цената на придобиване на имотите, машините, съоръженията и оборудването, намалена с очакваната им остатъчна стойност, на база линейния метод за очакваните им полезни животи, като обикновено се признава в печалбата или загубата. Активи на лизинг се амортизират за по-късия измежду срока на договора и техния полезен живот, освен когато е почти сигурно придобиването на собствеността върху тях до края на срока на договора. Земята не се амортизира.</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w:t>
      </w:r>
      <w:r w:rsidR="000D322C">
        <w:rPr>
          <w:rFonts w:ascii="Times New Roman" w:hAnsi="Times New Roman"/>
          <w:color w:val="auto"/>
          <w:sz w:val="20"/>
          <w:szCs w:val="20"/>
          <w:lang w:val="bg-BG"/>
        </w:rPr>
        <w:t>и</w:t>
      </w:r>
      <w:r w:rsidRPr="00BA7402">
        <w:rPr>
          <w:rFonts w:ascii="Times New Roman" w:hAnsi="Times New Roman"/>
          <w:color w:val="auto"/>
          <w:sz w:val="20"/>
          <w:szCs w:val="20"/>
          <w:lang w:val="bg-BG"/>
        </w:rPr>
        <w:t>)  Нематериални активи</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Признаване и оценка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Нематериални активи, придобити от Дружеството, имащи определен полезен живот, са представени по цена на придобиване, намалена с натрупана амортизация и загуби от обезценки.</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Последващи разходи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Последващи разходи се капитализират само когато увеличават бъдещата икономическа полза от специфичния актив, за който се отнасят. Всички останали разходи, включително разходи за вътрешно генерирани репутация и търговски марки, се признават като разход в момента на тяхното възникване.</w:t>
      </w:r>
    </w:p>
    <w:p w:rsidR="00741FB9" w:rsidRPr="00BA7402" w:rsidRDefault="00741FB9" w:rsidP="00BD6BE6">
      <w:pPr>
        <w:pStyle w:val="Heading4"/>
        <w:spacing w:line="260" w:lineRule="atLeast"/>
        <w:ind w:left="426"/>
        <w:rPr>
          <w:rFonts w:ascii="Times New Roman" w:hAnsi="Times New Roman"/>
          <w:color w:val="auto"/>
          <w:sz w:val="20"/>
          <w:szCs w:val="20"/>
          <w:lang w:val="bg-BG"/>
        </w:rPr>
      </w:pPr>
      <w:r w:rsidRPr="00BA7402">
        <w:rPr>
          <w:rFonts w:ascii="Times New Roman" w:hAnsi="Times New Roman"/>
          <w:color w:val="auto"/>
          <w:sz w:val="20"/>
          <w:szCs w:val="20"/>
          <w:lang w:val="bg-BG"/>
        </w:rPr>
        <w:t>Амортизация</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Амортизацията се изчислява така, че да се изпише цената на придобиване на нематериалните активи, намалена с очакваната им остатъчна стойност, на база линейния метод за очакваните им полезни животи, като обикновено се признава в печалбата или загубата. </w:t>
      </w:r>
    </w:p>
    <w:p w:rsidR="00741FB9" w:rsidRPr="00BA7402" w:rsidRDefault="00BD6BE6" w:rsidP="00741FB9">
      <w:pPr>
        <w:pStyle w:val="Heading3"/>
        <w:spacing w:after="120" w:line="260" w:lineRule="atLeast"/>
        <w:jc w:val="both"/>
        <w:rPr>
          <w:rFonts w:ascii="Times New Roman" w:hAnsi="Times New Roman"/>
          <w:color w:val="auto"/>
          <w:sz w:val="20"/>
          <w:szCs w:val="20"/>
          <w:lang w:val="bg-BG"/>
        </w:rPr>
      </w:pPr>
      <w:r>
        <w:rPr>
          <w:rFonts w:ascii="Times New Roman" w:hAnsi="Times New Roman"/>
          <w:color w:val="auto"/>
          <w:sz w:val="20"/>
          <w:szCs w:val="20"/>
          <w:lang w:val="bg-BG"/>
        </w:rPr>
        <w:t xml:space="preserve"> </w:t>
      </w:r>
      <w:r>
        <w:rPr>
          <w:rFonts w:ascii="Times New Roman" w:hAnsi="Times New Roman"/>
          <w:color w:val="auto"/>
          <w:sz w:val="20"/>
          <w:szCs w:val="20"/>
        </w:rPr>
        <w:t>(</w:t>
      </w:r>
      <w:r w:rsidR="000D322C">
        <w:rPr>
          <w:rFonts w:ascii="Times New Roman" w:hAnsi="Times New Roman"/>
          <w:color w:val="auto"/>
          <w:sz w:val="20"/>
          <w:szCs w:val="20"/>
          <w:lang w:val="bg-BG"/>
        </w:rPr>
        <w:t>й</w:t>
      </w:r>
      <w:r>
        <w:rPr>
          <w:rFonts w:ascii="Times New Roman" w:hAnsi="Times New Roman"/>
          <w:color w:val="auto"/>
          <w:sz w:val="20"/>
          <w:szCs w:val="20"/>
        </w:rPr>
        <w:t>)</w:t>
      </w:r>
      <w:r w:rsidR="00741FB9" w:rsidRPr="00BA7402">
        <w:rPr>
          <w:rFonts w:ascii="Times New Roman" w:hAnsi="Times New Roman"/>
          <w:color w:val="auto"/>
          <w:sz w:val="20"/>
          <w:szCs w:val="20"/>
          <w:lang w:val="bg-BG"/>
        </w:rPr>
        <w:t xml:space="preserve">  Инвестиционни имоти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Инвестиционните имоти първоначално се оценяват по цена на придобиване и при последваща оценка по справедлива стойност, като промените се признават в печалбата или загубата.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Печалбата или загубата от продажбата на инвестиционен имот (разликата между нетните постъпления от продажбата и балансовата стойност на имота) се признава в печалбата или загубата за периода. </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к</w:t>
      </w:r>
      <w:r w:rsidRPr="00BA7402">
        <w:rPr>
          <w:rFonts w:ascii="Times New Roman" w:hAnsi="Times New Roman"/>
          <w:color w:val="auto"/>
          <w:sz w:val="20"/>
          <w:szCs w:val="20"/>
          <w:lang w:val="bg-BG"/>
        </w:rPr>
        <w:t>)  Финансови инструменти</w:t>
      </w:r>
    </w:p>
    <w:p w:rsidR="00741FB9" w:rsidRPr="00BA7402" w:rsidRDefault="00741FB9" w:rsidP="00741FB9">
      <w:pPr>
        <w:jc w:val="both"/>
        <w:rPr>
          <w:rFonts w:ascii="Times New Roman" w:hAnsi="Times New Roman"/>
          <w:sz w:val="20"/>
          <w:szCs w:val="20"/>
          <w:lang w:val="bg-BG"/>
        </w:rPr>
      </w:pPr>
      <w:r w:rsidRPr="00BA7402">
        <w:rPr>
          <w:rFonts w:ascii="Times New Roman" w:hAnsi="Times New Roman"/>
          <w:sz w:val="20"/>
          <w:szCs w:val="20"/>
          <w:lang w:val="bg-BG"/>
        </w:rPr>
        <w:t>Дружеството класифицира не-деривативните финансови активи в следните категории: финансови активи, отчитани по справедлива стойност през печалбата или загубата, финансови активи държани до падеж, заеми и вземания, и финансови активи на разположение за продажба.</w:t>
      </w:r>
    </w:p>
    <w:p w:rsidR="00741FB9" w:rsidRPr="00BA7402" w:rsidRDefault="00741FB9" w:rsidP="00741FB9">
      <w:pPr>
        <w:jc w:val="both"/>
        <w:rPr>
          <w:rFonts w:ascii="Times New Roman" w:hAnsi="Times New Roman"/>
          <w:sz w:val="20"/>
          <w:szCs w:val="20"/>
          <w:lang w:val="bg-BG"/>
        </w:rPr>
      </w:pPr>
      <w:r w:rsidRPr="00BA7402">
        <w:rPr>
          <w:rFonts w:ascii="Times New Roman" w:hAnsi="Times New Roman"/>
          <w:sz w:val="20"/>
          <w:szCs w:val="20"/>
          <w:lang w:val="bg-BG"/>
        </w:rPr>
        <w:t>Дружеството класифицира не-деривативните финансови пасиви като други финансови пасиви.</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lastRenderedPageBreak/>
        <w:t>Не-деривативни финансови активи и финансови пасиви – признаване и отписване</w:t>
      </w:r>
    </w:p>
    <w:p w:rsidR="00E702EA"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Дружеството първоначално признава заеми и вземания и издадени дългови ценни книжа на датата, на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която те са възникнали. Всички други финансови активи и финансови пасиви се признават първоначално на датата на търгуване.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Дружеството отписва финансов актив, когато договорните права за паричните потоци от актива са погасени, или Дружеството прехвърли правата за получаване на договорените парични потоци от финансовия актив в сделка, според която значителна част от всички рискове и изгоди от собствеността на финансовия актив са прехвърлени, или нито прехвърля, нито задържа значителна част от всички рискове и изгоди от собствеността и не запазва контрол над прехвърления актив. Всяко участие в такъв отписан финансов актив, което е създадено или задържано от Дружеството, се признава като отделен актив или пасив.</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Дружеството отписва финансов пасив, когато неговите договорни задължения са изпълнени, или са отменени, или са изтекли.</w:t>
      </w:r>
    </w:p>
    <w:p w:rsidR="00741FB9" w:rsidRPr="00BA7402" w:rsidRDefault="00741FB9" w:rsidP="00741FB9">
      <w:pPr>
        <w:pStyle w:val="Default"/>
        <w:spacing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Финансови активи и пасиви се компенсират и нетната стойност се представя в отчета за финансово състояние тогава и само тогава, когато Дружеството има правно основание да нетира сумите и има намерение или да урежда на нетна база, или да реализира актива и да уреди пасива едновременно. </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Не-деривативни финансови активи – оценяване</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Финансови активи, отчитани по справедлива стойност през печалбата или загубата</w:t>
      </w:r>
    </w:p>
    <w:p w:rsidR="00741FB9" w:rsidRPr="00BA7402" w:rsidRDefault="00741FB9" w:rsidP="00E702EA">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Финансов актив се класифицира като отчитан по справедлива стойност в печалби и загуби, ако е държан за търгуване или е определен като такъв при първоначално признаване. Пряко свързаните разходи по сделката се признават в печалбата или загубата при възникване. Финансовите активи, отчитани по справедлива стойност в печалби и загуби, се оценяват по справедлива стойност и всички свързани промени, включително доходи от лихви или от дивиденти, се отчитат в печалбата или загубата.</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Финансови активи държани до падеж</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Тези активи се признават първоначално по справедлива стойност плюс всички пряко свързани разходи по сделката. След първоначално признаване те се оценяват по амортизирана стойност, по метода на ефективния лихвен процент.</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Заеми и вземания</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Тези активи се признават първоначално по справедлива стойност плюс всички пряко свързани разходи по сделката. След първоначално признаване те се оценяват по амортизирана стойност, по метода на ефективния лихвен процент.</w:t>
      </w:r>
    </w:p>
    <w:p w:rsidR="00741FB9" w:rsidRPr="00BA7402" w:rsidRDefault="00741FB9" w:rsidP="00741FB9">
      <w:pPr>
        <w:pStyle w:val="Heading5"/>
        <w:spacing w:after="120" w:line="260" w:lineRule="atLeast"/>
        <w:jc w:val="both"/>
        <w:rPr>
          <w:rFonts w:ascii="Times New Roman" w:hAnsi="Times New Roman"/>
          <w:i/>
          <w:color w:val="auto"/>
          <w:sz w:val="20"/>
          <w:szCs w:val="20"/>
          <w:lang w:val="bg-BG"/>
        </w:rPr>
      </w:pPr>
      <w:r w:rsidRPr="00BA7402">
        <w:rPr>
          <w:rFonts w:ascii="Times New Roman" w:hAnsi="Times New Roman"/>
          <w:i/>
          <w:color w:val="auto"/>
          <w:sz w:val="20"/>
          <w:szCs w:val="20"/>
          <w:lang w:val="bg-BG"/>
        </w:rPr>
        <w:t>Пари и парични еквиваленти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В отчета за паричните потоци пари и парични еквиваленти включват банкови овърдрафти, които са платими при поискване и са неразделна част от управлението на паричните наличности на Дружеството.</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Финансови активи на разположение за продажба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Тези активи се признават първоначално по справедлива стойност плюс пряко свързаните разходи по сделката. След първоначално признаване те се оценяват по справедлива стойност, като промените, различни от загуби за обезценка и валутни курсови разлики от дългови инструменти (виж (е)(i)), се отчитат в ДВД и се представят в резерв за справедлива стойност. Когато такива активи се отписват, сумата, натрупана в резерва, се рекласифицира в печалбата или загубата.</w:t>
      </w:r>
    </w:p>
    <w:p w:rsidR="00741FB9" w:rsidRPr="00BA7402" w:rsidRDefault="00741FB9" w:rsidP="00BD6BE6">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lastRenderedPageBreak/>
        <w:t>Не-деривативни финансови пасиви – оценяване</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Финансов пасив се класифицира като отчитан по справедлива стойност в печалби и загуби, ако е държан за търгуване или е определен като такъв при първоначално признаване. Пряко свързаните разходи по сделката се признават в печалбата или загубата при възникване. Финансов пасив, отчитан по справедлива стойност в печалби и загуби, се оценяват по справедлива стойност и всички свързани промени, включително разходи за лихви, се отчитат в печалбата или загубата. </w:t>
      </w:r>
    </w:p>
    <w:p w:rsidR="00BD6BE6" w:rsidRDefault="00741FB9" w:rsidP="00BD6BE6">
      <w:pPr>
        <w:pStyle w:val="Default"/>
        <w:spacing w:before="120" w:after="120" w:line="260" w:lineRule="atLeast"/>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Други не-деривативни финансови пасиви се признават първоначално по справедлива стойност, намалена с всички пряко свързани разходи по сделката. След първоначално признаване тези пасиви се оценяват по амортизирана стойност, като се използва методът </w:t>
      </w:r>
      <w:r w:rsidR="00E702EA" w:rsidRPr="00BA7402">
        <w:rPr>
          <w:rFonts w:ascii="Times New Roman" w:hAnsi="Times New Roman" w:cs="Times New Roman"/>
          <w:color w:val="auto"/>
          <w:sz w:val="20"/>
          <w:szCs w:val="20"/>
          <w:lang w:val="bg-BG"/>
        </w:rPr>
        <w:t>на ефективния лихвен процент.</w:t>
      </w:r>
    </w:p>
    <w:p w:rsidR="00741FB9" w:rsidRPr="00BD6BE6" w:rsidRDefault="00BD6BE6" w:rsidP="00BD6BE6">
      <w:pPr>
        <w:pStyle w:val="Default"/>
        <w:spacing w:before="120" w:after="120" w:line="260" w:lineRule="atLeast"/>
        <w:rPr>
          <w:rFonts w:ascii="Times New Roman" w:hAnsi="Times New Roman" w:cs="Times New Roman"/>
          <w:color w:val="auto"/>
          <w:sz w:val="20"/>
          <w:szCs w:val="20"/>
          <w:lang w:val="bg-BG"/>
        </w:rPr>
      </w:pPr>
      <w:r>
        <w:rPr>
          <w:rFonts w:ascii="Times New Roman" w:hAnsi="Times New Roman"/>
          <w:color w:val="auto"/>
          <w:sz w:val="20"/>
          <w:szCs w:val="20"/>
        </w:rPr>
        <w:t>(</w:t>
      </w:r>
      <w:r>
        <w:rPr>
          <w:rFonts w:ascii="Times New Roman" w:hAnsi="Times New Roman"/>
          <w:color w:val="auto"/>
          <w:sz w:val="20"/>
          <w:szCs w:val="20"/>
          <w:lang w:val="bg-BG"/>
        </w:rPr>
        <w:t>к</w:t>
      </w:r>
      <w:r>
        <w:rPr>
          <w:rFonts w:ascii="Times New Roman" w:hAnsi="Times New Roman"/>
          <w:color w:val="auto"/>
          <w:sz w:val="20"/>
          <w:szCs w:val="20"/>
        </w:rPr>
        <w:t>)</w:t>
      </w:r>
      <w:r w:rsidR="00741FB9" w:rsidRPr="00BA7402">
        <w:rPr>
          <w:rFonts w:ascii="Times New Roman" w:hAnsi="Times New Roman"/>
          <w:color w:val="auto"/>
          <w:sz w:val="20"/>
          <w:szCs w:val="20"/>
          <w:lang w:val="bg-BG"/>
        </w:rPr>
        <w:t>Акционерен капитал</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Обикновени акции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Допълнителните разходи, пряко свързани с издаването на обикновените акции, нетно от данъчни ефекти, се признават като намаление на собствения капитал.</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Обратно изкупуване и повторно издаване на обикновени акции (изкупени собствени акции)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При изкупуване на собствени акции, платената сума, която включва директно свързаните разходи, нетно от данъци, се признава като намаление в собствения капитал. Обратно изкупените собствени акции се представят в резерва от собствени акции. Когато изкупени собствени акции в последствие бъдат продадени или бъдат преиздадени, получената сума се признава в увеличение на собствения капитал, а печалбата/загубата от сделката се представя в премиен резерв.</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л</w:t>
      </w:r>
      <w:r w:rsidRPr="00BA7402">
        <w:rPr>
          <w:rFonts w:ascii="Times New Roman" w:hAnsi="Times New Roman"/>
          <w:color w:val="auto"/>
          <w:sz w:val="20"/>
          <w:szCs w:val="20"/>
          <w:lang w:val="bg-BG"/>
        </w:rPr>
        <w:t>) Обезценка</w:t>
      </w:r>
    </w:p>
    <w:p w:rsidR="00741FB9" w:rsidRPr="00BA7402" w:rsidRDefault="00741FB9" w:rsidP="000C50D4">
      <w:pPr>
        <w:pStyle w:val="Heading4"/>
        <w:spacing w:before="120" w:line="260" w:lineRule="atLeast"/>
        <w:ind w:left="432"/>
        <w:jc w:val="both"/>
        <w:rPr>
          <w:rFonts w:ascii="Times New Roman" w:hAnsi="Times New Roman"/>
          <w:color w:val="auto"/>
          <w:sz w:val="20"/>
          <w:szCs w:val="20"/>
          <w:lang w:val="bg-BG"/>
        </w:rPr>
      </w:pPr>
      <w:r w:rsidRPr="00BA7402">
        <w:rPr>
          <w:rFonts w:ascii="Times New Roman" w:hAnsi="Times New Roman"/>
          <w:color w:val="auto"/>
          <w:sz w:val="20"/>
          <w:szCs w:val="20"/>
          <w:lang w:val="bg-BG"/>
        </w:rPr>
        <w:t>Не-деривативни финансови активи</w:t>
      </w:r>
    </w:p>
    <w:p w:rsidR="00741FB9" w:rsidRPr="00BA7402" w:rsidRDefault="00741FB9" w:rsidP="00741FB9">
      <w:pPr>
        <w:pStyle w:val="Default"/>
        <w:spacing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Финансови активи, които не се отчитат по справедлива стойност в печалби и загуби, се преглеждат към всяка отчетна дата, за да се прецени дали съществуват обективни доказателства за обезценка.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Обективно доказателство, че финансов актив е обезценен, включва: </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неизпълнение или просрочие от длъжника; </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преструктуриране на задължението към Дружеството при условия, които Дружеството иначе не би разглеждало; </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индикации, че длъжник или емитент ще изпадне в несъстоятелност; </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неблагоприятни промени в статуса на плащания на длъжник или емитент; </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изчезването на активен пазар за дадена ценна книга;</w:t>
      </w:r>
    </w:p>
    <w:p w:rsidR="00741FB9" w:rsidRPr="00BA7402" w:rsidRDefault="00741FB9" w:rsidP="00741FB9">
      <w:pPr>
        <w:pStyle w:val="Default"/>
        <w:numPr>
          <w:ilvl w:val="0"/>
          <w:numId w:val="13"/>
        </w:numPr>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наблюдаеми данни, които показват, че има измеримо намаление на очакваните парични потоци от група финансови активи.</w:t>
      </w:r>
    </w:p>
    <w:p w:rsidR="00741FB9" w:rsidRPr="00BA7402" w:rsidRDefault="00741FB9" w:rsidP="00E702EA">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За инвестиция в капиталова ценна книга обективно доказателство за обезценка включва значителен или продължителен спад в справедливата стойност под нейната цена на придобиване. За значителен спад Дружеството счита 20 процента, а за продължителен сп</w:t>
      </w:r>
      <w:r w:rsidR="00E702EA" w:rsidRPr="00BA7402">
        <w:rPr>
          <w:rFonts w:ascii="Times New Roman" w:hAnsi="Times New Roman" w:cs="Times New Roman"/>
          <w:color w:val="auto"/>
          <w:sz w:val="20"/>
          <w:szCs w:val="20"/>
          <w:lang w:val="bg-BG"/>
        </w:rPr>
        <w:t>ад се счита период от 9 месеца.</w:t>
      </w:r>
    </w:p>
    <w:p w:rsidR="00741FB9" w:rsidRPr="00BA7402" w:rsidRDefault="00741FB9" w:rsidP="00362171">
      <w:pPr>
        <w:pStyle w:val="Heading3"/>
        <w:spacing w:before="120" w:line="260" w:lineRule="atLeast"/>
        <w:rPr>
          <w:rFonts w:ascii="Times New Roman" w:hAnsi="Times New Roman"/>
          <w:i/>
          <w:color w:val="auto"/>
          <w:sz w:val="20"/>
          <w:szCs w:val="20"/>
          <w:u w:val="single"/>
          <w:lang w:val="bg-BG"/>
        </w:rPr>
      </w:pPr>
      <w:r w:rsidRPr="00BA7402">
        <w:rPr>
          <w:rFonts w:ascii="Times New Roman" w:hAnsi="Times New Roman"/>
          <w:color w:val="auto"/>
          <w:sz w:val="20"/>
          <w:szCs w:val="20"/>
          <w:lang w:val="bg-BG"/>
        </w:rPr>
        <w:t xml:space="preserve"> </w:t>
      </w:r>
      <w:r w:rsidRPr="00BA7402">
        <w:rPr>
          <w:rFonts w:ascii="Times New Roman" w:hAnsi="Times New Roman"/>
          <w:i/>
          <w:color w:val="auto"/>
          <w:sz w:val="20"/>
          <w:szCs w:val="20"/>
          <w:u w:val="single"/>
          <w:lang w:val="bg-BG"/>
        </w:rPr>
        <w:t>Финансови активи отчитани по амортизирана стойност</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Дружеството взима предвид доказателства за обезценка на тези активи, както за конкретен актив, така и на колективно равнище. Всички индивидуално значими активи се проверяват за специфична обезценка. Тези, за които няма специфична обезценка, след това се проверяват колективно за обезценка, която е възникнала, но все още не е идентифицирана. Активите, които не са индивидуално значими, се проверяват колективно за обезценка. Колективната проверка се прави като се групират заедно активи със сходни характеристики на риска.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При проверката на колективно ниво за обезценка, Дружеството използва историческа информация за </w:t>
      </w:r>
      <w:r w:rsidRPr="00BA7402">
        <w:rPr>
          <w:rFonts w:ascii="Times New Roman" w:hAnsi="Times New Roman" w:cs="Times New Roman"/>
          <w:color w:val="auto"/>
          <w:sz w:val="20"/>
          <w:szCs w:val="20"/>
          <w:lang w:val="bg-BG"/>
        </w:rPr>
        <w:lastRenderedPageBreak/>
        <w:t>времето за възстановяване и размера на възникналите загуби, и прави корекция ако текущите икономически и кредитни условия са такива, че е вероятно реалните загуби да бъдат по-големи или по-малки от предполаганите на базата на историческите тенденции.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Загубата от обезценка се изчислява като разликата между отчетна стойност на актива и настоящата стойност на очакваните бъдещи парични потоци, дисконтирани с оригиналния ефективен лихвен процент. Загуба от обезценка се признава в печалби и загуби и се отразява в корективна сметка. Когато Дружеството определи, че няма реалистична възможност за възстановяване на актива, съответните суми се отписват. Ако загубата от обезценка впоследствие намалее, и намалението може обективно да се свърже със събитие, настъпило след признаването на обезценка, тогава признатата преди загуба от обезценка се отразява обратно през печалбата или загубата.</w:t>
      </w:r>
    </w:p>
    <w:p w:rsidR="00741FB9" w:rsidRPr="00BA7402" w:rsidRDefault="00741FB9" w:rsidP="00741FB9">
      <w:pPr>
        <w:pStyle w:val="Heading5"/>
        <w:spacing w:after="120" w:line="260" w:lineRule="atLeast"/>
        <w:jc w:val="both"/>
        <w:rPr>
          <w:rFonts w:ascii="Times New Roman" w:hAnsi="Times New Roman"/>
          <w:i/>
          <w:color w:val="auto"/>
          <w:sz w:val="20"/>
          <w:szCs w:val="20"/>
          <w:u w:val="single"/>
          <w:lang w:val="bg-BG"/>
        </w:rPr>
      </w:pPr>
      <w:r w:rsidRPr="00BA7402">
        <w:rPr>
          <w:rFonts w:ascii="Times New Roman" w:hAnsi="Times New Roman"/>
          <w:i/>
          <w:color w:val="auto"/>
          <w:sz w:val="20"/>
          <w:szCs w:val="20"/>
          <w:u w:val="single"/>
          <w:lang w:val="bg-BG"/>
        </w:rPr>
        <w:t>Финансови активи на разположение за продажба</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Загуба от обезценка по отношение на финансов актив на разположение за продажба се признава чрез рекласификация на загубите натрупани в резерв от справедлива стойност в печалбата или загубата. Рекласифицираната сума е разликата между цената на придобиване (нетно от изплащания на главница и амортизация) и текущата справедлива стойност, намалена със загуба от обезценка призната преди в печалбата или загубата. Ако справедливата стойност на обезценена дългова ценна книга на разположение за продажба в последствие се увеличи, и увеличението може обективно да бъде свързано със събитие, настъпило след признаването на загубата от обезценка в печалбата или загубата, тогава загубата от обезценка се възстановява обратно в печалбата или загубата; в други случаи се възстановява в ДВД.</w:t>
      </w:r>
    </w:p>
    <w:p w:rsidR="00741FB9" w:rsidRPr="00BA7402" w:rsidRDefault="00741FB9" w:rsidP="000C50D4">
      <w:pPr>
        <w:pStyle w:val="Heading4"/>
        <w:spacing w:before="120" w:line="260" w:lineRule="atLeast"/>
        <w:ind w:left="432"/>
        <w:jc w:val="both"/>
        <w:rPr>
          <w:rFonts w:ascii="Times New Roman" w:hAnsi="Times New Roman"/>
          <w:color w:val="auto"/>
          <w:sz w:val="20"/>
          <w:szCs w:val="20"/>
          <w:lang w:val="bg-BG"/>
        </w:rPr>
      </w:pPr>
      <w:r w:rsidRPr="00BA7402">
        <w:rPr>
          <w:rFonts w:ascii="Times New Roman" w:hAnsi="Times New Roman"/>
          <w:color w:val="auto"/>
          <w:sz w:val="20"/>
          <w:szCs w:val="20"/>
          <w:lang w:val="bg-BG"/>
        </w:rPr>
        <w:t xml:space="preserve">Не-финансови активи </w:t>
      </w:r>
    </w:p>
    <w:p w:rsidR="00741FB9" w:rsidRPr="00BA7402" w:rsidRDefault="00741FB9" w:rsidP="00741FB9">
      <w:pPr>
        <w:pStyle w:val="Default"/>
        <w:spacing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Отчетните стойности на нефинансовите активи на Дружеството (различни от инвестиционни имоти, материални запаси и отсрочени данъчни активи) се преглеждат към всяка отчетна дата с цел да се определи дали има индикации за обезценка. В случай, че съществуват такива индикации, се прави приблизителна оценка на възстановимата стойност на актива. За нематериални активи с неопределен полезен живот, или които още не са готови за употреба, възстановимата стойност се определя на всяка година по едно и също време. Загуба от обезценка се признава в случай, че балансовата стойност на един актив или обект, генериращ парични потоци (ОГПП), превишава неговата възстановима стойност.</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Възстановимата стойност на актив или ОГПП, е по-високата от неговата стойност в употреба и справедливата му стойност, намалена с разхода по продажба. При оценката на стойността в употреба, бъдещите парични потоци се дисконтират до сегашната им стойност, като се прилага дисконтов процент преди данъци, отразяващ текущите оценки за пазара, цената на парите във времето и риска специфичен за актива или за ОГПП. За целта на теста за обезценка, активи, които не могат да бъдат тествани индивидуално, се групират заедно в най-малката възможна група активи, генерираща парични постъпления от продължаваща употреба, които са в голяма степен независими от паричните постъпления от други активи или ОГПП.</w:t>
      </w:r>
    </w:p>
    <w:p w:rsidR="00741FB9" w:rsidRPr="00BA7402" w:rsidRDefault="00741FB9" w:rsidP="000C50D4">
      <w:pPr>
        <w:pStyle w:val="Heading4"/>
        <w:spacing w:before="120" w:line="260" w:lineRule="atLeast"/>
        <w:ind w:left="432"/>
        <w:rPr>
          <w:rFonts w:ascii="Times New Roman" w:hAnsi="Times New Roman"/>
          <w:color w:val="auto"/>
          <w:sz w:val="20"/>
          <w:szCs w:val="20"/>
          <w:lang w:val="bg-BG"/>
        </w:rPr>
      </w:pPr>
      <w:r w:rsidRPr="00BA7402">
        <w:rPr>
          <w:rFonts w:ascii="Times New Roman" w:hAnsi="Times New Roman"/>
          <w:color w:val="auto"/>
          <w:sz w:val="20"/>
          <w:szCs w:val="20"/>
          <w:lang w:val="bg-BG"/>
        </w:rPr>
        <w:t xml:space="preserve">Не-финансови активи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Загуби от обезценка се признават в печалби и загуби за активи, които не са преоценени. Загуба от обезценка за преоценен актив се признава в ДВД, доколкото тази обезценка не надвишава сумата на преоценъчния резерв за същия актив. Такава загуба от обезценка за преоценен актив намалява преоценъчния резерв за същия актив. Загуби от обезценка признати за ОГПП се разпределят така, че да намалят балансовите стойности на активите в обекта пропорционално.</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Загуба от обезценка се възстановява само до такава степен, че балансовата стойност на актива не надвишава балансовата стойност, която би била определена, след приспадане на амортизация, ако загуба от обезценка не е била признавана.</w:t>
      </w:r>
    </w:p>
    <w:p w:rsidR="00741FB9" w:rsidRPr="00BA7402" w:rsidRDefault="00741FB9" w:rsidP="00741FB9">
      <w:pPr>
        <w:pStyle w:val="Heading3"/>
        <w:spacing w:after="120" w:line="260" w:lineRule="atLeast"/>
        <w:jc w:val="both"/>
        <w:rPr>
          <w:rFonts w:ascii="Times New Roman" w:hAnsi="Times New Roman"/>
          <w:color w:val="auto"/>
          <w:sz w:val="20"/>
          <w:szCs w:val="20"/>
          <w:lang w:val="bg-BG"/>
        </w:rPr>
      </w:pPr>
      <w:r w:rsidRPr="00BA7402">
        <w:rPr>
          <w:rFonts w:ascii="Times New Roman" w:hAnsi="Times New Roman"/>
          <w:color w:val="auto"/>
          <w:sz w:val="20"/>
          <w:szCs w:val="20"/>
          <w:lang w:val="bg-BG"/>
        </w:rPr>
        <w:t>(</w:t>
      </w:r>
      <w:r w:rsidR="000D322C">
        <w:rPr>
          <w:rFonts w:ascii="Times New Roman" w:hAnsi="Times New Roman"/>
          <w:color w:val="auto"/>
          <w:sz w:val="20"/>
          <w:szCs w:val="20"/>
          <w:lang w:val="bg-BG"/>
        </w:rPr>
        <w:t>м</w:t>
      </w:r>
      <w:r w:rsidRPr="00BA7402">
        <w:rPr>
          <w:rFonts w:ascii="Times New Roman" w:hAnsi="Times New Roman"/>
          <w:color w:val="auto"/>
          <w:sz w:val="20"/>
          <w:szCs w:val="20"/>
          <w:lang w:val="bg-BG"/>
        </w:rPr>
        <w:t>) Провизии</w:t>
      </w:r>
    </w:p>
    <w:p w:rsidR="00741FB9" w:rsidRPr="00BA7402" w:rsidRDefault="00741FB9" w:rsidP="00741FB9">
      <w:pPr>
        <w:pStyle w:val="Default"/>
        <w:spacing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Провизиите се определят чрез дисконтиране на очакваните бъдещи парични потоци с лихвен процент преди данъци, който отразява текущата пазарна стойност на парите във времето и рисковете, </w:t>
      </w:r>
      <w:r w:rsidRPr="00BA7402">
        <w:rPr>
          <w:rFonts w:ascii="Times New Roman" w:hAnsi="Times New Roman" w:cs="Times New Roman"/>
          <w:color w:val="auto"/>
          <w:sz w:val="20"/>
          <w:szCs w:val="20"/>
          <w:lang w:val="bg-BG"/>
        </w:rPr>
        <w:lastRenderedPageBreak/>
        <w:t>специфични за задължението. Олихвяването на дисконтираната стойност се признава като финансов разход.</w:t>
      </w:r>
    </w:p>
    <w:p w:rsidR="00741FB9" w:rsidRPr="00BA7402" w:rsidRDefault="00741FB9" w:rsidP="00741FB9">
      <w:pPr>
        <w:pStyle w:val="Heading3"/>
        <w:spacing w:after="120" w:line="260" w:lineRule="atLeast"/>
        <w:rPr>
          <w:rFonts w:ascii="Times New Roman" w:hAnsi="Times New Roman"/>
          <w:color w:val="auto"/>
          <w:sz w:val="20"/>
          <w:szCs w:val="20"/>
          <w:lang w:val="bg-BG"/>
        </w:rPr>
      </w:pPr>
      <w:r w:rsidRPr="00BA7402">
        <w:rPr>
          <w:rFonts w:ascii="Times New Roman" w:hAnsi="Times New Roman"/>
          <w:color w:val="auto"/>
          <w:sz w:val="20"/>
          <w:szCs w:val="20"/>
          <w:lang w:val="bg-BG"/>
        </w:rPr>
        <w:t xml:space="preserve"> (</w:t>
      </w:r>
      <w:r w:rsidR="000D322C">
        <w:rPr>
          <w:rFonts w:ascii="Times New Roman" w:hAnsi="Times New Roman"/>
          <w:color w:val="auto"/>
          <w:sz w:val="20"/>
          <w:szCs w:val="20"/>
          <w:lang w:val="bg-BG"/>
        </w:rPr>
        <w:t>н</w:t>
      </w:r>
      <w:r w:rsidRPr="00BA7402">
        <w:rPr>
          <w:rFonts w:ascii="Times New Roman" w:hAnsi="Times New Roman"/>
          <w:color w:val="auto"/>
          <w:sz w:val="20"/>
          <w:szCs w:val="20"/>
          <w:lang w:val="bg-BG"/>
        </w:rPr>
        <w:t>)  Лизинг</w:t>
      </w:r>
    </w:p>
    <w:p w:rsidR="00741FB9" w:rsidRPr="00BA7402" w:rsidRDefault="00741FB9" w:rsidP="000C50D4">
      <w:pPr>
        <w:pStyle w:val="Heading4"/>
        <w:spacing w:line="260" w:lineRule="atLeast"/>
        <w:ind w:left="426"/>
        <w:rPr>
          <w:rFonts w:ascii="Times New Roman" w:hAnsi="Times New Roman"/>
          <w:color w:val="auto"/>
          <w:sz w:val="20"/>
          <w:szCs w:val="20"/>
          <w:lang w:val="bg-BG"/>
        </w:rPr>
      </w:pPr>
      <w:r w:rsidRPr="00BA7402">
        <w:rPr>
          <w:rFonts w:ascii="Times New Roman" w:hAnsi="Times New Roman"/>
          <w:color w:val="auto"/>
          <w:sz w:val="20"/>
          <w:szCs w:val="20"/>
          <w:lang w:val="bg-BG"/>
        </w:rPr>
        <w:t>Определяне дали дадено споразумение съдържа лизинг</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При възникване на споразумението, Дружеството определя дали то е, или съдържа лизинг.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При възникване или след повторна оценка на споразумение, което съдържа лизинг, Дружеството разделя плащания и други изисквани възнаграждения по това споразумение, на такива за лизинг, и такива за други елементи, въз основа на относителните им справедливи стойности. Ако Дружеството заключи, че за даден финансов лизинг е невъзможно да се разделят плащанията надеждно, актив и пасив се признават в размер, равен на справедливата стойност на базовия актив; в последствие пасивът се намалява, когато се извършват плащанията, и се признава вменен финансов разход върху пасива като се използва диференциалния лихвен процент на Дружеството.</w:t>
      </w:r>
    </w:p>
    <w:p w:rsidR="00741FB9" w:rsidRPr="00BA7402" w:rsidRDefault="00741FB9" w:rsidP="000C50D4">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Наети активи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Лизинговите договори, по силата на които на Дружеството се прехвърлят всички значими рискове и изгоди от собствеността, се класифицират като финансов лизинг. При първоначално признаване наетите активи се отчитат по по-ниската от справедлива стойност и настояща стойност на минималните лизингови плащания. След първоначално признаване, активът се отчита според счетоводната политика, приложима за съответния актив.</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Различни от тези лизингови договори са договори за оперативен лизинг и те не се признават в отчета за финансовото състояние на Дружеството.</w:t>
      </w:r>
    </w:p>
    <w:p w:rsidR="00741FB9" w:rsidRPr="00BA7402" w:rsidRDefault="00741FB9" w:rsidP="000C50D4">
      <w:pPr>
        <w:pStyle w:val="Heading4"/>
        <w:spacing w:line="260" w:lineRule="atLeast"/>
        <w:ind w:left="426"/>
        <w:jc w:val="both"/>
        <w:rPr>
          <w:rFonts w:ascii="Times New Roman" w:hAnsi="Times New Roman"/>
          <w:color w:val="auto"/>
          <w:sz w:val="20"/>
          <w:szCs w:val="20"/>
          <w:lang w:val="bg-BG"/>
        </w:rPr>
      </w:pPr>
      <w:r w:rsidRPr="00BA7402">
        <w:rPr>
          <w:rFonts w:ascii="Times New Roman" w:hAnsi="Times New Roman"/>
          <w:color w:val="auto"/>
          <w:sz w:val="20"/>
          <w:szCs w:val="20"/>
          <w:lang w:val="bg-BG"/>
        </w:rPr>
        <w:t>Плащания по лизингови договори</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Плащанията по оперативен лизинг се признават в печалби и загуби на база линейния метод за периода на лизинговия договор. Получени лизингови стимули се признават като неразделна част от общите лизингови разходи през периода на договора. </w:t>
      </w:r>
    </w:p>
    <w:p w:rsidR="00741FB9" w:rsidRPr="00BA7402" w:rsidRDefault="00741FB9" w:rsidP="00741FB9">
      <w:pPr>
        <w:pStyle w:val="Default"/>
        <w:spacing w:before="120" w:after="120" w:line="260" w:lineRule="atLeast"/>
        <w:jc w:val="both"/>
        <w:rPr>
          <w:rFonts w:ascii="Times New Roman" w:hAnsi="Times New Roman" w:cs="Times New Roman"/>
          <w:color w:val="auto"/>
          <w:sz w:val="20"/>
          <w:szCs w:val="20"/>
          <w:lang w:val="bg-BG"/>
        </w:rPr>
      </w:pPr>
      <w:r w:rsidRPr="00BA7402">
        <w:rPr>
          <w:rFonts w:ascii="Times New Roman" w:hAnsi="Times New Roman" w:cs="Times New Roman"/>
          <w:color w:val="auto"/>
          <w:sz w:val="20"/>
          <w:szCs w:val="20"/>
          <w:lang w:val="bg-BG"/>
        </w:rPr>
        <w:t xml:space="preserve">Минималните лизингови вноски по финансов лизинг се разпределят между финансови разходи и намаляване на неуредените задължения. Финансовите разходи се разпределят към всеки период за времето на лизинговия срок така, че да се постигне постоянен периодичен лихвен процент на остатъка от задължението. </w:t>
      </w:r>
    </w:p>
    <w:p w:rsidR="008E0881" w:rsidRDefault="008E0881" w:rsidP="008E0881">
      <w:pPr>
        <w:pStyle w:val="Default"/>
        <w:spacing w:before="120" w:after="120" w:line="260" w:lineRule="atLeast"/>
        <w:rPr>
          <w:rFonts w:ascii="Times New Roman" w:hAnsi="Times New Roman" w:cs="Times New Roman"/>
          <w:bCs/>
          <w:color w:val="auto"/>
          <w:sz w:val="20"/>
          <w:szCs w:val="20"/>
          <w:lang w:val="bg-BG"/>
        </w:rPr>
      </w:pPr>
    </w:p>
    <w:p w:rsidR="009B3C9F" w:rsidRPr="00BA7402" w:rsidRDefault="009B3C9F" w:rsidP="008E0881">
      <w:pPr>
        <w:pStyle w:val="Default"/>
        <w:spacing w:before="120" w:after="120" w:line="260" w:lineRule="atLeast"/>
        <w:rPr>
          <w:rFonts w:ascii="Times New Roman" w:hAnsi="Times New Roman" w:cs="Times New Roman"/>
          <w:bCs/>
          <w:color w:val="auto"/>
          <w:sz w:val="20"/>
          <w:szCs w:val="20"/>
          <w:lang w:val="bg-BG"/>
        </w:rPr>
      </w:pPr>
    </w:p>
    <w:p w:rsidR="00731B06"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Съставител ССП Милк Комерсиал ЕООД</w:t>
      </w:r>
    </w:p>
    <w:p w:rsidR="00731B06"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Чрез Управителя:</w:t>
      </w:r>
    </w:p>
    <w:p w:rsidR="00731B06"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 xml:space="preserve"> /Д. Маркова/</w:t>
      </w:r>
    </w:p>
    <w:p w:rsidR="00731B06"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p>
    <w:p w:rsidR="00731B06"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Изпълнителен директор :</w:t>
      </w:r>
    </w:p>
    <w:p w:rsidR="008E0881" w:rsidRPr="00BA7402" w:rsidRDefault="00731B06" w:rsidP="00731B06">
      <w:pPr>
        <w:pStyle w:val="Default"/>
        <w:spacing w:before="120" w:after="120" w:line="260" w:lineRule="atLeast"/>
        <w:rPr>
          <w:rFonts w:ascii="Times New Roman" w:hAnsi="Times New Roman" w:cs="Times New Roman"/>
          <w:bCs/>
          <w:color w:val="auto"/>
          <w:sz w:val="20"/>
          <w:szCs w:val="20"/>
          <w:lang w:val="bg-BG"/>
        </w:rPr>
      </w:pPr>
      <w:r w:rsidRPr="00BA7402">
        <w:rPr>
          <w:rFonts w:ascii="Times New Roman" w:hAnsi="Times New Roman" w:cs="Times New Roman"/>
          <w:bCs/>
          <w:color w:val="auto"/>
          <w:sz w:val="20"/>
          <w:szCs w:val="20"/>
          <w:lang w:val="bg-BG"/>
        </w:rPr>
        <w:t>/</w:t>
      </w:r>
      <w:r w:rsidR="009C754E" w:rsidRPr="00BA7402">
        <w:rPr>
          <w:rFonts w:ascii="Times New Roman" w:hAnsi="Times New Roman" w:cs="Times New Roman"/>
          <w:bCs/>
          <w:color w:val="auto"/>
          <w:sz w:val="20"/>
          <w:szCs w:val="20"/>
          <w:lang w:val="bg-BG"/>
        </w:rPr>
        <w:t>И</w:t>
      </w:r>
      <w:r w:rsidRPr="00BA7402">
        <w:rPr>
          <w:rFonts w:ascii="Times New Roman" w:hAnsi="Times New Roman" w:cs="Times New Roman"/>
          <w:bCs/>
          <w:color w:val="auto"/>
          <w:sz w:val="20"/>
          <w:szCs w:val="20"/>
          <w:lang w:val="bg-BG"/>
        </w:rPr>
        <w:t>.</w:t>
      </w:r>
      <w:r w:rsidR="009C754E" w:rsidRPr="00BA7402">
        <w:rPr>
          <w:rFonts w:ascii="Times New Roman" w:hAnsi="Times New Roman" w:cs="Times New Roman"/>
          <w:bCs/>
          <w:color w:val="auto"/>
          <w:sz w:val="20"/>
          <w:szCs w:val="20"/>
          <w:lang w:val="bg-BG"/>
        </w:rPr>
        <w:t xml:space="preserve"> Стойкова</w:t>
      </w:r>
      <w:r w:rsidRPr="00BA7402">
        <w:rPr>
          <w:rFonts w:ascii="Times New Roman" w:hAnsi="Times New Roman" w:cs="Times New Roman"/>
          <w:bCs/>
          <w:color w:val="auto"/>
          <w:sz w:val="20"/>
          <w:szCs w:val="20"/>
          <w:lang w:val="bg-BG"/>
        </w:rPr>
        <w:t xml:space="preserve">/      </w:t>
      </w:r>
    </w:p>
    <w:p w:rsidR="008E0881" w:rsidRPr="00C94D6E" w:rsidRDefault="008E0881" w:rsidP="008E0881">
      <w:pPr>
        <w:pStyle w:val="Heading2"/>
        <w:spacing w:before="240" w:after="120" w:line="260" w:lineRule="atLeast"/>
        <w:ind w:left="360"/>
        <w:rPr>
          <w:rFonts w:ascii="Times New Roman" w:hAnsi="Times New Roman"/>
          <w:color w:val="auto"/>
          <w:sz w:val="20"/>
          <w:szCs w:val="20"/>
          <w:lang w:val="bg-BG"/>
        </w:rPr>
      </w:pPr>
    </w:p>
    <w:sectPr w:rsidR="008E0881" w:rsidRPr="00C94D6E" w:rsidSect="008E0881">
      <w:headerReference w:type="default" r:id="rId14"/>
      <w:pgSz w:w="11907" w:h="16839" w:code="9"/>
      <w:pgMar w:top="1418" w:right="1418" w:bottom="1418" w:left="1701" w:header="720" w:footer="720" w:gutter="0"/>
      <w:cols w:space="331"/>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45" w:rsidRDefault="00C01B45" w:rsidP="0003766D">
      <w:pPr>
        <w:spacing w:after="0" w:line="240" w:lineRule="auto"/>
      </w:pPr>
      <w:r>
        <w:separator/>
      </w:r>
    </w:p>
  </w:endnote>
  <w:endnote w:type="continuationSeparator" w:id="0">
    <w:p w:rsidR="00C01B45" w:rsidRDefault="00C01B45" w:rsidP="0003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Univers 45 Light">
    <w:altName w:val="Times New Roman"/>
    <w:charset w:val="00"/>
    <w:family w:val="auto"/>
    <w:pitch w:val="variable"/>
    <w:sig w:usb0="80000023" w:usb1="00000000" w:usb2="00000000" w:usb3="00000000" w:csb0="00000001" w:csb1="00000000"/>
  </w:font>
  <w:font w:name="Univers 55">
    <w:altName w:val="Times New Roman"/>
    <w:charset w:val="00"/>
    <w:family w:val="auto"/>
    <w:pitch w:val="variable"/>
    <w:sig w:usb0="8000002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BVWR C+ Univers 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45" w:rsidRDefault="00C01B45" w:rsidP="0003766D">
      <w:pPr>
        <w:spacing w:after="0" w:line="240" w:lineRule="auto"/>
      </w:pPr>
      <w:r>
        <w:separator/>
      </w:r>
    </w:p>
  </w:footnote>
  <w:footnote w:type="continuationSeparator" w:id="0">
    <w:p w:rsidR="00C01B45" w:rsidRDefault="00C01B45" w:rsidP="00037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72" w:type="dxa"/>
      <w:tblLook w:val="01E0" w:firstRow="1" w:lastRow="1" w:firstColumn="1" w:lastColumn="1" w:noHBand="0" w:noVBand="0"/>
    </w:tblPr>
    <w:tblGrid>
      <w:gridCol w:w="3832"/>
      <w:gridCol w:w="5168"/>
    </w:tblGrid>
    <w:tr w:rsidR="00182232" w:rsidRPr="005421C2" w:rsidTr="005421C2">
      <w:tc>
        <w:tcPr>
          <w:tcW w:w="3832" w:type="dxa"/>
        </w:tcPr>
        <w:p w:rsidR="00182232" w:rsidRPr="005421C2" w:rsidRDefault="00182232" w:rsidP="00336FC2">
          <w:pPr>
            <w:pStyle w:val="Header"/>
            <w:rPr>
              <w:rFonts w:ascii="Times New Roman" w:hAnsi="Times New Roman"/>
              <w:b/>
              <w:bCs/>
              <w:i/>
              <w:sz w:val="20"/>
              <w:szCs w:val="20"/>
              <w:lang w:val="bg-BG"/>
            </w:rPr>
          </w:pPr>
          <w:r>
            <w:rPr>
              <w:rFonts w:ascii="Times New Roman" w:hAnsi="Times New Roman"/>
              <w:b/>
              <w:bCs/>
              <w:i/>
              <w:sz w:val="20"/>
              <w:szCs w:val="20"/>
              <w:lang w:val="bg-BG"/>
            </w:rPr>
            <w:t>КАБИЛЕ ЛБ</w:t>
          </w:r>
          <w:r w:rsidRPr="00EA6BBE">
            <w:rPr>
              <w:rFonts w:ascii="Times New Roman" w:hAnsi="Times New Roman"/>
              <w:b/>
              <w:bCs/>
              <w:i/>
              <w:sz w:val="20"/>
              <w:szCs w:val="20"/>
              <w:lang w:val="bg-BG"/>
            </w:rPr>
            <w:t xml:space="preserve">  АД</w:t>
          </w:r>
        </w:p>
      </w:tc>
      <w:tc>
        <w:tcPr>
          <w:tcW w:w="5168" w:type="dxa"/>
        </w:tcPr>
        <w:p w:rsidR="00182232" w:rsidRPr="005421C2" w:rsidRDefault="00182232" w:rsidP="005421C2">
          <w:pPr>
            <w:pStyle w:val="Header"/>
            <w:ind w:right="-108"/>
            <w:jc w:val="right"/>
            <w:rPr>
              <w:rFonts w:ascii="Times New Roman" w:hAnsi="Times New Roman"/>
              <w:b/>
              <w:bCs/>
              <w:i/>
              <w:sz w:val="20"/>
              <w:szCs w:val="20"/>
              <w:lang w:val="bg-BG"/>
            </w:rPr>
          </w:pPr>
          <w:r w:rsidRPr="005421C2">
            <w:rPr>
              <w:rFonts w:ascii="Times New Roman" w:hAnsi="Times New Roman"/>
              <w:b/>
              <w:bCs/>
              <w:i/>
              <w:sz w:val="20"/>
              <w:szCs w:val="20"/>
              <w:lang w:val="bg-BG"/>
            </w:rPr>
            <w:t>Финансов отчет</w:t>
          </w:r>
        </w:p>
        <w:p w:rsidR="00182232" w:rsidRPr="00290C74" w:rsidRDefault="00182232" w:rsidP="00A85E70">
          <w:pPr>
            <w:pStyle w:val="Header"/>
            <w:ind w:right="-108"/>
            <w:jc w:val="right"/>
            <w:rPr>
              <w:rFonts w:ascii="Times New Roman" w:hAnsi="Times New Roman"/>
              <w:b/>
              <w:bCs/>
              <w:i/>
              <w:sz w:val="20"/>
              <w:szCs w:val="20"/>
            </w:rPr>
          </w:pPr>
          <w:r w:rsidRPr="005421C2">
            <w:rPr>
              <w:rFonts w:ascii="Times New Roman" w:hAnsi="Times New Roman"/>
              <w:b/>
              <w:bCs/>
              <w:i/>
              <w:sz w:val="20"/>
              <w:szCs w:val="20"/>
              <w:lang w:val="bg-BG"/>
            </w:rPr>
            <w:t xml:space="preserve">за годината, приключваща на 31 декември </w:t>
          </w:r>
          <w:r>
            <w:rPr>
              <w:rFonts w:ascii="Times New Roman" w:hAnsi="Times New Roman"/>
              <w:b/>
              <w:bCs/>
              <w:i/>
              <w:sz w:val="20"/>
              <w:szCs w:val="20"/>
              <w:lang w:val="bg-BG"/>
            </w:rPr>
            <w:t>2019</w:t>
          </w:r>
        </w:p>
      </w:tc>
    </w:tr>
  </w:tbl>
  <w:p w:rsidR="00182232" w:rsidRPr="00CC6399" w:rsidRDefault="00182232" w:rsidP="00103E37">
    <w:pPr>
      <w:pStyle w:val="Header"/>
      <w:rPr>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32" w:rsidRPr="00DF3CAA" w:rsidRDefault="00182232" w:rsidP="00DF3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388234"/>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A5760E"/>
    <w:multiLevelType w:val="multilevel"/>
    <w:tmpl w:val="911A2FBC"/>
    <w:lvl w:ilvl="0">
      <w:start w:val="1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62C6F"/>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397722D"/>
    <w:multiLevelType w:val="multilevel"/>
    <w:tmpl w:val="5C62AC82"/>
    <w:lvl w:ilvl="0">
      <w:start w:val="1"/>
      <w:numFmt w:val="low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6E70D24"/>
    <w:multiLevelType w:val="multilevel"/>
    <w:tmpl w:val="711A87B0"/>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5868F3"/>
    <w:multiLevelType w:val="multilevel"/>
    <w:tmpl w:val="558C6D6A"/>
    <w:lvl w:ilvl="0">
      <w:start w:val="9"/>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1E4074"/>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C763F4D"/>
    <w:multiLevelType w:val="multilevel"/>
    <w:tmpl w:val="F31AE36A"/>
    <w:lvl w:ilvl="0">
      <w:start w:val="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5A2498"/>
    <w:multiLevelType w:val="hybridMultilevel"/>
    <w:tmpl w:val="B476BE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C55B61"/>
    <w:multiLevelType w:val="multilevel"/>
    <w:tmpl w:val="3C98E582"/>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EC3309"/>
    <w:multiLevelType w:val="multilevel"/>
    <w:tmpl w:val="5C62AC82"/>
    <w:lvl w:ilvl="0">
      <w:start w:val="1"/>
      <w:numFmt w:val="low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start w:val="1"/>
      <w:numFmt w:val="lowerRoman"/>
      <w:lvlText w:val="(%6)"/>
      <w:lvlJc w:val="right"/>
      <w:pPr>
        <w:ind w:left="3960" w:hanging="180"/>
      </w:pPr>
      <w:rPr>
        <w:rFonts w:hint="default"/>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1FA9419F"/>
    <w:multiLevelType w:val="multilevel"/>
    <w:tmpl w:val="ABF2D956"/>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977FBE"/>
    <w:multiLevelType w:val="multilevel"/>
    <w:tmpl w:val="0C5CA54E"/>
    <w:lvl w:ilvl="0">
      <w:start w:val="2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594E95"/>
    <w:multiLevelType w:val="multilevel"/>
    <w:tmpl w:val="C3F8AEC4"/>
    <w:lvl w:ilvl="0">
      <w:start w:val="1"/>
      <w:numFmt w:val="bullet"/>
      <w:lvlText w:val=""/>
      <w:lvlJc w:val="left"/>
      <w:pPr>
        <w:tabs>
          <w:tab w:val="num" w:pos="340"/>
        </w:tabs>
        <w:ind w:left="340" w:hanging="340"/>
      </w:pPr>
      <w:rPr>
        <w:rFonts w:ascii="Symbol" w:hAnsi="Symbol" w:hint="default"/>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4" w15:restartNumberingAfterBreak="0">
    <w:nsid w:val="25A7271D"/>
    <w:multiLevelType w:val="multilevel"/>
    <w:tmpl w:val="29782956"/>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0B7A72"/>
    <w:multiLevelType w:val="multilevel"/>
    <w:tmpl w:val="08A4E5F2"/>
    <w:lvl w:ilvl="0">
      <w:start w:val="1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EB0429"/>
    <w:multiLevelType w:val="multilevel"/>
    <w:tmpl w:val="9FCCF7DC"/>
    <w:lvl w:ilvl="0">
      <w:start w:val="1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333239"/>
    <w:multiLevelType w:val="multilevel"/>
    <w:tmpl w:val="1B249AB4"/>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4B066D"/>
    <w:multiLevelType w:val="multilevel"/>
    <w:tmpl w:val="5C62AC82"/>
    <w:lvl w:ilvl="0">
      <w:start w:val="1"/>
      <w:numFmt w:val="low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3F90F93"/>
    <w:multiLevelType w:val="hybridMultilevel"/>
    <w:tmpl w:val="96688D96"/>
    <w:lvl w:ilvl="0" w:tplc="0DC6B4D4">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4D515D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71554E"/>
    <w:multiLevelType w:val="singleLevel"/>
    <w:tmpl w:val="20049C02"/>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379351FC"/>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E1F5A68"/>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40A69FC"/>
    <w:multiLevelType w:val="hybridMultilevel"/>
    <w:tmpl w:val="3B28BDE0"/>
    <w:lvl w:ilvl="0" w:tplc="F752AD0C">
      <w:start w:val="1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356EAC"/>
    <w:multiLevelType w:val="multilevel"/>
    <w:tmpl w:val="22F201B2"/>
    <w:lvl w:ilvl="0">
      <w:start w:val="2"/>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5F386F"/>
    <w:multiLevelType w:val="singleLevel"/>
    <w:tmpl w:val="580A07B2"/>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46EC1CAD"/>
    <w:multiLevelType w:val="hybridMultilevel"/>
    <w:tmpl w:val="8B9ED286"/>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9447225"/>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94E70E1"/>
    <w:multiLevelType w:val="singleLevel"/>
    <w:tmpl w:val="BF76C02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E351B60"/>
    <w:multiLevelType w:val="multilevel"/>
    <w:tmpl w:val="2ADC839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F802F84"/>
    <w:multiLevelType w:val="multilevel"/>
    <w:tmpl w:val="BF824F4A"/>
    <w:lvl w:ilvl="0">
      <w:start w:val="1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1670A7"/>
    <w:multiLevelType w:val="multilevel"/>
    <w:tmpl w:val="1AE423F4"/>
    <w:lvl w:ilvl="0">
      <w:start w:val="1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7C7220"/>
    <w:multiLevelType w:val="singleLevel"/>
    <w:tmpl w:val="B0C89954"/>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57CE3E8D"/>
    <w:multiLevelType w:val="multilevel"/>
    <w:tmpl w:val="AFFC0928"/>
    <w:lvl w:ilvl="0">
      <w:start w:val="1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BE36493"/>
    <w:multiLevelType w:val="multilevel"/>
    <w:tmpl w:val="FF6C6E12"/>
    <w:lvl w:ilvl="0">
      <w:start w:val="10"/>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CA14534"/>
    <w:multiLevelType w:val="multilevel"/>
    <w:tmpl w:val="42B0ADBC"/>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CA735FA"/>
    <w:multiLevelType w:val="multilevel"/>
    <w:tmpl w:val="5C62AC82"/>
    <w:lvl w:ilvl="0">
      <w:start w:val="1"/>
      <w:numFmt w:val="lowerRoman"/>
      <w:lvlText w:val="(%1)"/>
      <w:lvlJc w:val="righ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28E26FD"/>
    <w:multiLevelType w:val="multilevel"/>
    <w:tmpl w:val="A3AC6608"/>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8C5EE5"/>
    <w:multiLevelType w:val="singleLevel"/>
    <w:tmpl w:val="AC523774"/>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6FCE0485"/>
    <w:multiLevelType w:val="multilevel"/>
    <w:tmpl w:val="DC703242"/>
    <w:lvl w:ilvl="0">
      <w:start w:val="1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D765AC"/>
    <w:multiLevelType w:val="multilevel"/>
    <w:tmpl w:val="5D0E518A"/>
    <w:lvl w:ilvl="0">
      <w:start w:val="1"/>
      <w:numFmt w:val="lowerRoman"/>
      <w:lvlText w:val="(%1)"/>
      <w:lvlJc w:val="right"/>
      <w:pPr>
        <w:ind w:left="720" w:hanging="360"/>
      </w:pPr>
      <w:rPr>
        <w:rFonts w:hint="default"/>
      </w:rPr>
    </w:lvl>
    <w:lvl w:ilvl="1">
      <w:start w:val="37"/>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FDD3935"/>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7554923"/>
    <w:multiLevelType w:val="multilevel"/>
    <w:tmpl w:val="C5804802"/>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A017FC"/>
    <w:multiLevelType w:val="multilevel"/>
    <w:tmpl w:val="F9C6C826"/>
    <w:lvl w:ilvl="0">
      <w:start w:val="2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E211C8"/>
    <w:multiLevelType w:val="multilevel"/>
    <w:tmpl w:val="5C62AC8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FEA0C46"/>
    <w:multiLevelType w:val="singleLevel"/>
    <w:tmpl w:val="5C22F2D8"/>
    <w:lvl w:ilvl="0">
      <w:start w:val="1"/>
      <w:numFmt w:val="bullet"/>
      <w:lvlText w:val=""/>
      <w:lvlJc w:val="left"/>
      <w:pPr>
        <w:tabs>
          <w:tab w:val="num" w:pos="340"/>
        </w:tabs>
        <w:ind w:left="340" w:hanging="340"/>
      </w:pPr>
      <w:rPr>
        <w:rFonts w:ascii="Symbol" w:hAnsi="Symbol" w:hint="default"/>
        <w:color w:val="auto"/>
        <w:sz w:val="22"/>
      </w:rPr>
    </w:lvl>
  </w:abstractNum>
  <w:num w:numId="1">
    <w:abstractNumId w:val="39"/>
  </w:num>
  <w:num w:numId="2">
    <w:abstractNumId w:val="45"/>
  </w:num>
  <w:num w:numId="3">
    <w:abstractNumId w:val="28"/>
  </w:num>
  <w:num w:numId="4">
    <w:abstractNumId w:val="18"/>
  </w:num>
  <w:num w:numId="5">
    <w:abstractNumId w:val="2"/>
  </w:num>
  <w:num w:numId="6">
    <w:abstractNumId w:val="37"/>
  </w:num>
  <w:num w:numId="7">
    <w:abstractNumId w:val="42"/>
  </w:num>
  <w:num w:numId="8">
    <w:abstractNumId w:val="0"/>
  </w:num>
  <w:num w:numId="9">
    <w:abstractNumId w:val="33"/>
  </w:num>
  <w:num w:numId="10">
    <w:abstractNumId w:val="6"/>
  </w:num>
  <w:num w:numId="11">
    <w:abstractNumId w:val="26"/>
  </w:num>
  <w:num w:numId="12">
    <w:abstractNumId w:val="46"/>
  </w:num>
  <w:num w:numId="13">
    <w:abstractNumId w:val="21"/>
  </w:num>
  <w:num w:numId="14">
    <w:abstractNumId w:val="25"/>
  </w:num>
  <w:num w:numId="15">
    <w:abstractNumId w:val="23"/>
  </w:num>
  <w:num w:numId="16">
    <w:abstractNumId w:val="41"/>
  </w:num>
  <w:num w:numId="17">
    <w:abstractNumId w:val="22"/>
  </w:num>
  <w:num w:numId="18">
    <w:abstractNumId w:val="20"/>
  </w:num>
  <w:num w:numId="19">
    <w:abstractNumId w:val="30"/>
  </w:num>
  <w:num w:numId="20">
    <w:abstractNumId w:val="29"/>
  </w:num>
  <w:num w:numId="21">
    <w:abstractNumId w:val="10"/>
  </w:num>
  <w:num w:numId="22">
    <w:abstractNumId w:val="13"/>
  </w:num>
  <w:num w:numId="23">
    <w:abstractNumId w:val="7"/>
  </w:num>
  <w:num w:numId="24">
    <w:abstractNumId w:val="5"/>
  </w:num>
  <w:num w:numId="25">
    <w:abstractNumId w:val="35"/>
  </w:num>
  <w:num w:numId="26">
    <w:abstractNumId w:val="15"/>
  </w:num>
  <w:num w:numId="27">
    <w:abstractNumId w:val="4"/>
  </w:num>
  <w:num w:numId="28">
    <w:abstractNumId w:val="31"/>
  </w:num>
  <w:num w:numId="29">
    <w:abstractNumId w:val="36"/>
  </w:num>
  <w:num w:numId="30">
    <w:abstractNumId w:val="38"/>
  </w:num>
  <w:num w:numId="31">
    <w:abstractNumId w:val="17"/>
  </w:num>
  <w:num w:numId="32">
    <w:abstractNumId w:val="11"/>
  </w:num>
  <w:num w:numId="33">
    <w:abstractNumId w:val="44"/>
  </w:num>
  <w:num w:numId="34">
    <w:abstractNumId w:val="43"/>
  </w:num>
  <w:num w:numId="35">
    <w:abstractNumId w:val="14"/>
  </w:num>
  <w:num w:numId="36">
    <w:abstractNumId w:val="1"/>
  </w:num>
  <w:num w:numId="37">
    <w:abstractNumId w:val="9"/>
  </w:num>
  <w:num w:numId="38">
    <w:abstractNumId w:val="12"/>
  </w:num>
  <w:num w:numId="39">
    <w:abstractNumId w:val="40"/>
  </w:num>
  <w:num w:numId="40">
    <w:abstractNumId w:val="34"/>
  </w:num>
  <w:num w:numId="41">
    <w:abstractNumId w:val="16"/>
  </w:num>
  <w:num w:numId="42">
    <w:abstractNumId w:val="32"/>
  </w:num>
  <w:num w:numId="43">
    <w:abstractNumId w:val="3"/>
  </w:num>
  <w:num w:numId="44">
    <w:abstractNumId w:val="24"/>
  </w:num>
  <w:num w:numId="45">
    <w:abstractNumId w:val="19"/>
  </w:num>
  <w:num w:numId="46">
    <w:abstractNumId w:val="27"/>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F4"/>
    <w:rsid w:val="00000A61"/>
    <w:rsid w:val="00001992"/>
    <w:rsid w:val="0000236E"/>
    <w:rsid w:val="00004C8A"/>
    <w:rsid w:val="00005241"/>
    <w:rsid w:val="0000556B"/>
    <w:rsid w:val="00005CB8"/>
    <w:rsid w:val="00007CAB"/>
    <w:rsid w:val="000101C1"/>
    <w:rsid w:val="0001113A"/>
    <w:rsid w:val="00012599"/>
    <w:rsid w:val="000128C8"/>
    <w:rsid w:val="000132B9"/>
    <w:rsid w:val="00013CB2"/>
    <w:rsid w:val="00014ADD"/>
    <w:rsid w:val="0001528D"/>
    <w:rsid w:val="00015499"/>
    <w:rsid w:val="00015845"/>
    <w:rsid w:val="0001589A"/>
    <w:rsid w:val="00015F54"/>
    <w:rsid w:val="00016723"/>
    <w:rsid w:val="00017556"/>
    <w:rsid w:val="00017E2A"/>
    <w:rsid w:val="00017E4B"/>
    <w:rsid w:val="00021189"/>
    <w:rsid w:val="00021A95"/>
    <w:rsid w:val="0002285F"/>
    <w:rsid w:val="000228AE"/>
    <w:rsid w:val="00022C22"/>
    <w:rsid w:val="0002321E"/>
    <w:rsid w:val="000240DF"/>
    <w:rsid w:val="000243F6"/>
    <w:rsid w:val="00024D82"/>
    <w:rsid w:val="00026395"/>
    <w:rsid w:val="0002673E"/>
    <w:rsid w:val="00027CCD"/>
    <w:rsid w:val="00030774"/>
    <w:rsid w:val="00030991"/>
    <w:rsid w:val="00032611"/>
    <w:rsid w:val="00032BC9"/>
    <w:rsid w:val="00032DDA"/>
    <w:rsid w:val="00033399"/>
    <w:rsid w:val="00033710"/>
    <w:rsid w:val="000338C3"/>
    <w:rsid w:val="00033ACA"/>
    <w:rsid w:val="00035F06"/>
    <w:rsid w:val="00036E8B"/>
    <w:rsid w:val="0003766D"/>
    <w:rsid w:val="00037AC3"/>
    <w:rsid w:val="00041745"/>
    <w:rsid w:val="00041780"/>
    <w:rsid w:val="00041CA0"/>
    <w:rsid w:val="00041E10"/>
    <w:rsid w:val="00043D7F"/>
    <w:rsid w:val="000441C8"/>
    <w:rsid w:val="0004522C"/>
    <w:rsid w:val="00046DE0"/>
    <w:rsid w:val="000505F5"/>
    <w:rsid w:val="00050C39"/>
    <w:rsid w:val="00050FE8"/>
    <w:rsid w:val="0005153F"/>
    <w:rsid w:val="00051643"/>
    <w:rsid w:val="00051973"/>
    <w:rsid w:val="0005265D"/>
    <w:rsid w:val="00053D22"/>
    <w:rsid w:val="00054268"/>
    <w:rsid w:val="00054EA3"/>
    <w:rsid w:val="00056ECE"/>
    <w:rsid w:val="00056F8E"/>
    <w:rsid w:val="00057D0F"/>
    <w:rsid w:val="00060C2B"/>
    <w:rsid w:val="00064C06"/>
    <w:rsid w:val="00065505"/>
    <w:rsid w:val="00065CB3"/>
    <w:rsid w:val="0006727B"/>
    <w:rsid w:val="0006791A"/>
    <w:rsid w:val="000708F0"/>
    <w:rsid w:val="00070C4F"/>
    <w:rsid w:val="00070F04"/>
    <w:rsid w:val="00070F45"/>
    <w:rsid w:val="000717F9"/>
    <w:rsid w:val="00072264"/>
    <w:rsid w:val="00073E4F"/>
    <w:rsid w:val="00075306"/>
    <w:rsid w:val="00075374"/>
    <w:rsid w:val="00076B35"/>
    <w:rsid w:val="00080553"/>
    <w:rsid w:val="00081FF8"/>
    <w:rsid w:val="000831E9"/>
    <w:rsid w:val="00083550"/>
    <w:rsid w:val="00083A67"/>
    <w:rsid w:val="00083C09"/>
    <w:rsid w:val="00083C53"/>
    <w:rsid w:val="00083DA2"/>
    <w:rsid w:val="00084393"/>
    <w:rsid w:val="00084768"/>
    <w:rsid w:val="00084C61"/>
    <w:rsid w:val="00085453"/>
    <w:rsid w:val="00085566"/>
    <w:rsid w:val="00085FF3"/>
    <w:rsid w:val="00086660"/>
    <w:rsid w:val="00087588"/>
    <w:rsid w:val="000878FE"/>
    <w:rsid w:val="00087BF8"/>
    <w:rsid w:val="00087E7B"/>
    <w:rsid w:val="000908CB"/>
    <w:rsid w:val="00090F71"/>
    <w:rsid w:val="00091D6C"/>
    <w:rsid w:val="00092764"/>
    <w:rsid w:val="000929BC"/>
    <w:rsid w:val="00092D69"/>
    <w:rsid w:val="000933C1"/>
    <w:rsid w:val="00093529"/>
    <w:rsid w:val="00094808"/>
    <w:rsid w:val="00095440"/>
    <w:rsid w:val="00096B59"/>
    <w:rsid w:val="00097102"/>
    <w:rsid w:val="000A0026"/>
    <w:rsid w:val="000A0309"/>
    <w:rsid w:val="000A0475"/>
    <w:rsid w:val="000A0AFC"/>
    <w:rsid w:val="000A235A"/>
    <w:rsid w:val="000A4FF9"/>
    <w:rsid w:val="000A71D0"/>
    <w:rsid w:val="000A7FEE"/>
    <w:rsid w:val="000B01CB"/>
    <w:rsid w:val="000B12EF"/>
    <w:rsid w:val="000B1797"/>
    <w:rsid w:val="000B1EC3"/>
    <w:rsid w:val="000B2542"/>
    <w:rsid w:val="000B34E7"/>
    <w:rsid w:val="000B5420"/>
    <w:rsid w:val="000B54F4"/>
    <w:rsid w:val="000B65D0"/>
    <w:rsid w:val="000B720C"/>
    <w:rsid w:val="000B7A2B"/>
    <w:rsid w:val="000B7E81"/>
    <w:rsid w:val="000C02B1"/>
    <w:rsid w:val="000C0C28"/>
    <w:rsid w:val="000C1048"/>
    <w:rsid w:val="000C165F"/>
    <w:rsid w:val="000C1B87"/>
    <w:rsid w:val="000C26B1"/>
    <w:rsid w:val="000C31F3"/>
    <w:rsid w:val="000C35D5"/>
    <w:rsid w:val="000C479B"/>
    <w:rsid w:val="000C50D4"/>
    <w:rsid w:val="000C5119"/>
    <w:rsid w:val="000C5CA2"/>
    <w:rsid w:val="000C6C85"/>
    <w:rsid w:val="000C7B22"/>
    <w:rsid w:val="000C7DE0"/>
    <w:rsid w:val="000D322C"/>
    <w:rsid w:val="000D3B7F"/>
    <w:rsid w:val="000D47D4"/>
    <w:rsid w:val="000D58D7"/>
    <w:rsid w:val="000D5BA8"/>
    <w:rsid w:val="000D7ABC"/>
    <w:rsid w:val="000D7E1E"/>
    <w:rsid w:val="000E0843"/>
    <w:rsid w:val="000E11A5"/>
    <w:rsid w:val="000E2BDA"/>
    <w:rsid w:val="000E2C09"/>
    <w:rsid w:val="000E4C1C"/>
    <w:rsid w:val="000E64C0"/>
    <w:rsid w:val="000E6F52"/>
    <w:rsid w:val="000E7A71"/>
    <w:rsid w:val="000E7CE0"/>
    <w:rsid w:val="000F1379"/>
    <w:rsid w:val="000F1818"/>
    <w:rsid w:val="000F20C7"/>
    <w:rsid w:val="000F23BF"/>
    <w:rsid w:val="000F28D0"/>
    <w:rsid w:val="000F2CF6"/>
    <w:rsid w:val="000F2CF9"/>
    <w:rsid w:val="000F3ACA"/>
    <w:rsid w:val="000F4B14"/>
    <w:rsid w:val="000F581D"/>
    <w:rsid w:val="000F5BF3"/>
    <w:rsid w:val="000F73AB"/>
    <w:rsid w:val="000F7BAE"/>
    <w:rsid w:val="00100D04"/>
    <w:rsid w:val="001011B5"/>
    <w:rsid w:val="001024EA"/>
    <w:rsid w:val="001029F2"/>
    <w:rsid w:val="001036EA"/>
    <w:rsid w:val="00103CD5"/>
    <w:rsid w:val="00103E37"/>
    <w:rsid w:val="00104D62"/>
    <w:rsid w:val="001051E9"/>
    <w:rsid w:val="001053EE"/>
    <w:rsid w:val="00105687"/>
    <w:rsid w:val="00110705"/>
    <w:rsid w:val="001107C1"/>
    <w:rsid w:val="00110B76"/>
    <w:rsid w:val="00110F77"/>
    <w:rsid w:val="00111E2D"/>
    <w:rsid w:val="00112652"/>
    <w:rsid w:val="001127D4"/>
    <w:rsid w:val="00113A6A"/>
    <w:rsid w:val="00113A6B"/>
    <w:rsid w:val="0011434B"/>
    <w:rsid w:val="00114379"/>
    <w:rsid w:val="00114A13"/>
    <w:rsid w:val="0011588B"/>
    <w:rsid w:val="00115E7A"/>
    <w:rsid w:val="00117335"/>
    <w:rsid w:val="001174D6"/>
    <w:rsid w:val="00117A53"/>
    <w:rsid w:val="0012019F"/>
    <w:rsid w:val="00122ECC"/>
    <w:rsid w:val="00123651"/>
    <w:rsid w:val="00123AF0"/>
    <w:rsid w:val="001242F0"/>
    <w:rsid w:val="00125D63"/>
    <w:rsid w:val="00126278"/>
    <w:rsid w:val="00127CC1"/>
    <w:rsid w:val="001314A1"/>
    <w:rsid w:val="00132527"/>
    <w:rsid w:val="00133651"/>
    <w:rsid w:val="00133AEF"/>
    <w:rsid w:val="00133BF1"/>
    <w:rsid w:val="00136A8A"/>
    <w:rsid w:val="0013728C"/>
    <w:rsid w:val="0013755E"/>
    <w:rsid w:val="00141A70"/>
    <w:rsid w:val="0014234C"/>
    <w:rsid w:val="0014244E"/>
    <w:rsid w:val="00142495"/>
    <w:rsid w:val="00143DFF"/>
    <w:rsid w:val="00144C35"/>
    <w:rsid w:val="001453C7"/>
    <w:rsid w:val="001458FB"/>
    <w:rsid w:val="00145E5B"/>
    <w:rsid w:val="00146EA7"/>
    <w:rsid w:val="00147216"/>
    <w:rsid w:val="0015122A"/>
    <w:rsid w:val="00151D79"/>
    <w:rsid w:val="00155896"/>
    <w:rsid w:val="001560B6"/>
    <w:rsid w:val="00156899"/>
    <w:rsid w:val="00156B75"/>
    <w:rsid w:val="001570E3"/>
    <w:rsid w:val="0016002A"/>
    <w:rsid w:val="0016037E"/>
    <w:rsid w:val="00160B0C"/>
    <w:rsid w:val="00163043"/>
    <w:rsid w:val="00163C84"/>
    <w:rsid w:val="001649FA"/>
    <w:rsid w:val="001650C1"/>
    <w:rsid w:val="0016512B"/>
    <w:rsid w:val="0016542F"/>
    <w:rsid w:val="00167D00"/>
    <w:rsid w:val="00167DB1"/>
    <w:rsid w:val="001708F4"/>
    <w:rsid w:val="001712BB"/>
    <w:rsid w:val="00171654"/>
    <w:rsid w:val="00171B14"/>
    <w:rsid w:val="0017233D"/>
    <w:rsid w:val="0017233F"/>
    <w:rsid w:val="00172422"/>
    <w:rsid w:val="00172F9E"/>
    <w:rsid w:val="0017326A"/>
    <w:rsid w:val="001744E2"/>
    <w:rsid w:val="0017471A"/>
    <w:rsid w:val="00175366"/>
    <w:rsid w:val="00175BEE"/>
    <w:rsid w:val="00175D73"/>
    <w:rsid w:val="00176C2D"/>
    <w:rsid w:val="001773B7"/>
    <w:rsid w:val="0018087F"/>
    <w:rsid w:val="00180912"/>
    <w:rsid w:val="00180B5B"/>
    <w:rsid w:val="00181DE1"/>
    <w:rsid w:val="00182232"/>
    <w:rsid w:val="001835C3"/>
    <w:rsid w:val="0018369F"/>
    <w:rsid w:val="00184D3B"/>
    <w:rsid w:val="00184FA9"/>
    <w:rsid w:val="00185024"/>
    <w:rsid w:val="00186538"/>
    <w:rsid w:val="00186CEC"/>
    <w:rsid w:val="00187377"/>
    <w:rsid w:val="00187F95"/>
    <w:rsid w:val="00190601"/>
    <w:rsid w:val="00190E5D"/>
    <w:rsid w:val="00191788"/>
    <w:rsid w:val="0019423C"/>
    <w:rsid w:val="001959B7"/>
    <w:rsid w:val="001970D8"/>
    <w:rsid w:val="00197888"/>
    <w:rsid w:val="00197B09"/>
    <w:rsid w:val="001A0B19"/>
    <w:rsid w:val="001A1094"/>
    <w:rsid w:val="001A246D"/>
    <w:rsid w:val="001A260A"/>
    <w:rsid w:val="001A39F4"/>
    <w:rsid w:val="001A6F58"/>
    <w:rsid w:val="001A7BC3"/>
    <w:rsid w:val="001B033E"/>
    <w:rsid w:val="001B0EE3"/>
    <w:rsid w:val="001B117B"/>
    <w:rsid w:val="001B2611"/>
    <w:rsid w:val="001B2F2A"/>
    <w:rsid w:val="001B3FC9"/>
    <w:rsid w:val="001B403D"/>
    <w:rsid w:val="001B4CA1"/>
    <w:rsid w:val="001B5788"/>
    <w:rsid w:val="001B693B"/>
    <w:rsid w:val="001B6F16"/>
    <w:rsid w:val="001B7A73"/>
    <w:rsid w:val="001C0631"/>
    <w:rsid w:val="001C0F11"/>
    <w:rsid w:val="001C1475"/>
    <w:rsid w:val="001C222E"/>
    <w:rsid w:val="001C2416"/>
    <w:rsid w:val="001C256A"/>
    <w:rsid w:val="001C2AFB"/>
    <w:rsid w:val="001C4E25"/>
    <w:rsid w:val="001C5751"/>
    <w:rsid w:val="001C61AD"/>
    <w:rsid w:val="001C65EB"/>
    <w:rsid w:val="001C694D"/>
    <w:rsid w:val="001C6A23"/>
    <w:rsid w:val="001C6E0B"/>
    <w:rsid w:val="001D04EA"/>
    <w:rsid w:val="001D0C26"/>
    <w:rsid w:val="001D104A"/>
    <w:rsid w:val="001D2AC2"/>
    <w:rsid w:val="001D3D09"/>
    <w:rsid w:val="001D418B"/>
    <w:rsid w:val="001D46D1"/>
    <w:rsid w:val="001D5250"/>
    <w:rsid w:val="001D53DC"/>
    <w:rsid w:val="001D5B87"/>
    <w:rsid w:val="001D7693"/>
    <w:rsid w:val="001E0406"/>
    <w:rsid w:val="001E1C0C"/>
    <w:rsid w:val="001E24D6"/>
    <w:rsid w:val="001E448C"/>
    <w:rsid w:val="001E57E7"/>
    <w:rsid w:val="001E66AC"/>
    <w:rsid w:val="001E77AA"/>
    <w:rsid w:val="001E7BF4"/>
    <w:rsid w:val="001F00D9"/>
    <w:rsid w:val="001F198B"/>
    <w:rsid w:val="001F1B7E"/>
    <w:rsid w:val="001F3ACA"/>
    <w:rsid w:val="001F4678"/>
    <w:rsid w:val="001F4F14"/>
    <w:rsid w:val="001F601C"/>
    <w:rsid w:val="001F6071"/>
    <w:rsid w:val="001F653F"/>
    <w:rsid w:val="001F7388"/>
    <w:rsid w:val="001F73E1"/>
    <w:rsid w:val="002002AD"/>
    <w:rsid w:val="002006D7"/>
    <w:rsid w:val="00201A0F"/>
    <w:rsid w:val="00202280"/>
    <w:rsid w:val="002032E2"/>
    <w:rsid w:val="002041F3"/>
    <w:rsid w:val="002069CB"/>
    <w:rsid w:val="00210292"/>
    <w:rsid w:val="002108BE"/>
    <w:rsid w:val="00210B6E"/>
    <w:rsid w:val="00211A29"/>
    <w:rsid w:val="00211EAE"/>
    <w:rsid w:val="00211F5B"/>
    <w:rsid w:val="002122BA"/>
    <w:rsid w:val="0021423B"/>
    <w:rsid w:val="00214715"/>
    <w:rsid w:val="00215597"/>
    <w:rsid w:val="00215F58"/>
    <w:rsid w:val="00216389"/>
    <w:rsid w:val="002175D7"/>
    <w:rsid w:val="00217C86"/>
    <w:rsid w:val="00222DFB"/>
    <w:rsid w:val="00222F5B"/>
    <w:rsid w:val="0022337E"/>
    <w:rsid w:val="00223F82"/>
    <w:rsid w:val="00225DDE"/>
    <w:rsid w:val="00225E7A"/>
    <w:rsid w:val="00226F91"/>
    <w:rsid w:val="00227AFB"/>
    <w:rsid w:val="00230A8A"/>
    <w:rsid w:val="00231302"/>
    <w:rsid w:val="00232017"/>
    <w:rsid w:val="002324A1"/>
    <w:rsid w:val="002324CF"/>
    <w:rsid w:val="00232A3C"/>
    <w:rsid w:val="00233D8A"/>
    <w:rsid w:val="00234144"/>
    <w:rsid w:val="002344EF"/>
    <w:rsid w:val="00234D89"/>
    <w:rsid w:val="002351CE"/>
    <w:rsid w:val="0023584B"/>
    <w:rsid w:val="00235B1E"/>
    <w:rsid w:val="00235E2F"/>
    <w:rsid w:val="00236231"/>
    <w:rsid w:val="00237D77"/>
    <w:rsid w:val="0024242A"/>
    <w:rsid w:val="0024242F"/>
    <w:rsid w:val="0024273C"/>
    <w:rsid w:val="00242ABA"/>
    <w:rsid w:val="00242BB2"/>
    <w:rsid w:val="00242CB1"/>
    <w:rsid w:val="00243D13"/>
    <w:rsid w:val="00243ECD"/>
    <w:rsid w:val="00244F50"/>
    <w:rsid w:val="0024562F"/>
    <w:rsid w:val="00245D89"/>
    <w:rsid w:val="002465DD"/>
    <w:rsid w:val="002467B9"/>
    <w:rsid w:val="00246A03"/>
    <w:rsid w:val="00246AC9"/>
    <w:rsid w:val="00251259"/>
    <w:rsid w:val="00252A7B"/>
    <w:rsid w:val="002532D5"/>
    <w:rsid w:val="00254D33"/>
    <w:rsid w:val="00254F26"/>
    <w:rsid w:val="002555BA"/>
    <w:rsid w:val="00256D56"/>
    <w:rsid w:val="00257495"/>
    <w:rsid w:val="00260F4B"/>
    <w:rsid w:val="00261D81"/>
    <w:rsid w:val="00261FCA"/>
    <w:rsid w:val="00263427"/>
    <w:rsid w:val="002647DE"/>
    <w:rsid w:val="00264922"/>
    <w:rsid w:val="002649F6"/>
    <w:rsid w:val="00264E47"/>
    <w:rsid w:val="0026529B"/>
    <w:rsid w:val="002652F8"/>
    <w:rsid w:val="00265311"/>
    <w:rsid w:val="00265514"/>
    <w:rsid w:val="0026584F"/>
    <w:rsid w:val="00265CF8"/>
    <w:rsid w:val="00265F85"/>
    <w:rsid w:val="0026629E"/>
    <w:rsid w:val="0026667A"/>
    <w:rsid w:val="002701CE"/>
    <w:rsid w:val="002714B4"/>
    <w:rsid w:val="0027161D"/>
    <w:rsid w:val="00272694"/>
    <w:rsid w:val="00272955"/>
    <w:rsid w:val="002729AB"/>
    <w:rsid w:val="002729BE"/>
    <w:rsid w:val="00273789"/>
    <w:rsid w:val="002737D2"/>
    <w:rsid w:val="00273FFE"/>
    <w:rsid w:val="00275983"/>
    <w:rsid w:val="00276149"/>
    <w:rsid w:val="002762AA"/>
    <w:rsid w:val="00276A51"/>
    <w:rsid w:val="00277D1C"/>
    <w:rsid w:val="002812F4"/>
    <w:rsid w:val="002826BC"/>
    <w:rsid w:val="00282B6E"/>
    <w:rsid w:val="00283469"/>
    <w:rsid w:val="00283C1B"/>
    <w:rsid w:val="00283CEE"/>
    <w:rsid w:val="00284AC1"/>
    <w:rsid w:val="00284CF9"/>
    <w:rsid w:val="00284FBF"/>
    <w:rsid w:val="00285052"/>
    <w:rsid w:val="0028602E"/>
    <w:rsid w:val="002863F2"/>
    <w:rsid w:val="00287797"/>
    <w:rsid w:val="00290A55"/>
    <w:rsid w:val="00290C74"/>
    <w:rsid w:val="00291361"/>
    <w:rsid w:val="00291566"/>
    <w:rsid w:val="00291999"/>
    <w:rsid w:val="00293867"/>
    <w:rsid w:val="002952A8"/>
    <w:rsid w:val="002954B2"/>
    <w:rsid w:val="002975FE"/>
    <w:rsid w:val="002A17DD"/>
    <w:rsid w:val="002A1A80"/>
    <w:rsid w:val="002A1EF1"/>
    <w:rsid w:val="002A27A2"/>
    <w:rsid w:val="002A29F8"/>
    <w:rsid w:val="002A2E5E"/>
    <w:rsid w:val="002A426A"/>
    <w:rsid w:val="002A5196"/>
    <w:rsid w:val="002A6C1F"/>
    <w:rsid w:val="002A74CE"/>
    <w:rsid w:val="002A75AB"/>
    <w:rsid w:val="002A775D"/>
    <w:rsid w:val="002B026D"/>
    <w:rsid w:val="002B0823"/>
    <w:rsid w:val="002B0BC2"/>
    <w:rsid w:val="002B1484"/>
    <w:rsid w:val="002B1C3C"/>
    <w:rsid w:val="002B3637"/>
    <w:rsid w:val="002B43D1"/>
    <w:rsid w:val="002B5200"/>
    <w:rsid w:val="002B5EB2"/>
    <w:rsid w:val="002B623E"/>
    <w:rsid w:val="002B72B8"/>
    <w:rsid w:val="002C0AC6"/>
    <w:rsid w:val="002C0CF9"/>
    <w:rsid w:val="002C163F"/>
    <w:rsid w:val="002C1660"/>
    <w:rsid w:val="002C1AFE"/>
    <w:rsid w:val="002C25B4"/>
    <w:rsid w:val="002C4BEE"/>
    <w:rsid w:val="002C678E"/>
    <w:rsid w:val="002C774B"/>
    <w:rsid w:val="002D0566"/>
    <w:rsid w:val="002D281E"/>
    <w:rsid w:val="002D28D6"/>
    <w:rsid w:val="002D32E4"/>
    <w:rsid w:val="002D3FF8"/>
    <w:rsid w:val="002D4502"/>
    <w:rsid w:val="002D4770"/>
    <w:rsid w:val="002D576E"/>
    <w:rsid w:val="002D5A59"/>
    <w:rsid w:val="002D5BCC"/>
    <w:rsid w:val="002D5CC7"/>
    <w:rsid w:val="002D76AC"/>
    <w:rsid w:val="002D7F50"/>
    <w:rsid w:val="002E0931"/>
    <w:rsid w:val="002E1044"/>
    <w:rsid w:val="002E2FD7"/>
    <w:rsid w:val="002E3209"/>
    <w:rsid w:val="002E3C9F"/>
    <w:rsid w:val="002E44A3"/>
    <w:rsid w:val="002E4594"/>
    <w:rsid w:val="002E54B5"/>
    <w:rsid w:val="002E588B"/>
    <w:rsid w:val="002E58B1"/>
    <w:rsid w:val="002E5E1F"/>
    <w:rsid w:val="002E6247"/>
    <w:rsid w:val="002E698B"/>
    <w:rsid w:val="002E7B3C"/>
    <w:rsid w:val="002E7DA7"/>
    <w:rsid w:val="002E7F6E"/>
    <w:rsid w:val="002F0559"/>
    <w:rsid w:val="002F0DD0"/>
    <w:rsid w:val="002F1E81"/>
    <w:rsid w:val="002F2F41"/>
    <w:rsid w:val="002F3EB2"/>
    <w:rsid w:val="002F439F"/>
    <w:rsid w:val="002F65B8"/>
    <w:rsid w:val="002F6A7D"/>
    <w:rsid w:val="0030060A"/>
    <w:rsid w:val="003007D0"/>
    <w:rsid w:val="0030115C"/>
    <w:rsid w:val="003014EC"/>
    <w:rsid w:val="003021E7"/>
    <w:rsid w:val="0030259F"/>
    <w:rsid w:val="0030324D"/>
    <w:rsid w:val="0030411A"/>
    <w:rsid w:val="00304820"/>
    <w:rsid w:val="00306FF8"/>
    <w:rsid w:val="00307348"/>
    <w:rsid w:val="00307702"/>
    <w:rsid w:val="00307804"/>
    <w:rsid w:val="00311AA4"/>
    <w:rsid w:val="00311B9F"/>
    <w:rsid w:val="00314177"/>
    <w:rsid w:val="0031477E"/>
    <w:rsid w:val="003163FA"/>
    <w:rsid w:val="00317182"/>
    <w:rsid w:val="003173BD"/>
    <w:rsid w:val="003178D1"/>
    <w:rsid w:val="00321232"/>
    <w:rsid w:val="003219CE"/>
    <w:rsid w:val="003238B7"/>
    <w:rsid w:val="00323CA4"/>
    <w:rsid w:val="00323CD6"/>
    <w:rsid w:val="00323EB6"/>
    <w:rsid w:val="0032407D"/>
    <w:rsid w:val="00326D4F"/>
    <w:rsid w:val="003276AD"/>
    <w:rsid w:val="00330347"/>
    <w:rsid w:val="003304AD"/>
    <w:rsid w:val="00330D04"/>
    <w:rsid w:val="00330F46"/>
    <w:rsid w:val="003319C5"/>
    <w:rsid w:val="00333257"/>
    <w:rsid w:val="00333676"/>
    <w:rsid w:val="00336FBF"/>
    <w:rsid w:val="00336FC2"/>
    <w:rsid w:val="00337210"/>
    <w:rsid w:val="00337711"/>
    <w:rsid w:val="003379F0"/>
    <w:rsid w:val="00337BCF"/>
    <w:rsid w:val="00337E42"/>
    <w:rsid w:val="00337E57"/>
    <w:rsid w:val="00341136"/>
    <w:rsid w:val="0034127E"/>
    <w:rsid w:val="00342199"/>
    <w:rsid w:val="00343421"/>
    <w:rsid w:val="003519BA"/>
    <w:rsid w:val="003520E2"/>
    <w:rsid w:val="003527E4"/>
    <w:rsid w:val="0035309C"/>
    <w:rsid w:val="00354AB2"/>
    <w:rsid w:val="003551CF"/>
    <w:rsid w:val="003558DF"/>
    <w:rsid w:val="00355F8F"/>
    <w:rsid w:val="003562A4"/>
    <w:rsid w:val="003571FD"/>
    <w:rsid w:val="00357597"/>
    <w:rsid w:val="00357C7D"/>
    <w:rsid w:val="00360281"/>
    <w:rsid w:val="003602E6"/>
    <w:rsid w:val="00360B41"/>
    <w:rsid w:val="00360BC5"/>
    <w:rsid w:val="00362171"/>
    <w:rsid w:val="003625EB"/>
    <w:rsid w:val="00364932"/>
    <w:rsid w:val="00364BD4"/>
    <w:rsid w:val="00364D44"/>
    <w:rsid w:val="00365AD8"/>
    <w:rsid w:val="00365AEB"/>
    <w:rsid w:val="00366B33"/>
    <w:rsid w:val="0037088C"/>
    <w:rsid w:val="00370A41"/>
    <w:rsid w:val="00370B20"/>
    <w:rsid w:val="00371ECB"/>
    <w:rsid w:val="0037271D"/>
    <w:rsid w:val="00372C45"/>
    <w:rsid w:val="00374591"/>
    <w:rsid w:val="0037581F"/>
    <w:rsid w:val="00376651"/>
    <w:rsid w:val="00376AA5"/>
    <w:rsid w:val="00377A07"/>
    <w:rsid w:val="00377E3F"/>
    <w:rsid w:val="00381D21"/>
    <w:rsid w:val="00381F14"/>
    <w:rsid w:val="00382B93"/>
    <w:rsid w:val="003836B7"/>
    <w:rsid w:val="003841B9"/>
    <w:rsid w:val="003848DD"/>
    <w:rsid w:val="0038513C"/>
    <w:rsid w:val="003858F1"/>
    <w:rsid w:val="00385D4D"/>
    <w:rsid w:val="00386722"/>
    <w:rsid w:val="00387909"/>
    <w:rsid w:val="003879A0"/>
    <w:rsid w:val="003906A9"/>
    <w:rsid w:val="00390C4A"/>
    <w:rsid w:val="00391AE3"/>
    <w:rsid w:val="00392F13"/>
    <w:rsid w:val="003935E9"/>
    <w:rsid w:val="0039451D"/>
    <w:rsid w:val="00395F73"/>
    <w:rsid w:val="00397DE9"/>
    <w:rsid w:val="003A0127"/>
    <w:rsid w:val="003A0844"/>
    <w:rsid w:val="003A1A83"/>
    <w:rsid w:val="003A1B3A"/>
    <w:rsid w:val="003A1FD6"/>
    <w:rsid w:val="003A3150"/>
    <w:rsid w:val="003A4160"/>
    <w:rsid w:val="003A4DBB"/>
    <w:rsid w:val="003A5FE6"/>
    <w:rsid w:val="003A61CB"/>
    <w:rsid w:val="003A6674"/>
    <w:rsid w:val="003A6A82"/>
    <w:rsid w:val="003B16B1"/>
    <w:rsid w:val="003B2AFF"/>
    <w:rsid w:val="003B377C"/>
    <w:rsid w:val="003B459C"/>
    <w:rsid w:val="003B4705"/>
    <w:rsid w:val="003B64B1"/>
    <w:rsid w:val="003B66AE"/>
    <w:rsid w:val="003B6C01"/>
    <w:rsid w:val="003B714F"/>
    <w:rsid w:val="003B7158"/>
    <w:rsid w:val="003C0B84"/>
    <w:rsid w:val="003C0FB1"/>
    <w:rsid w:val="003C12CC"/>
    <w:rsid w:val="003C2805"/>
    <w:rsid w:val="003C2B5C"/>
    <w:rsid w:val="003C2D06"/>
    <w:rsid w:val="003C3097"/>
    <w:rsid w:val="003C32A6"/>
    <w:rsid w:val="003C33C4"/>
    <w:rsid w:val="003C50F5"/>
    <w:rsid w:val="003C7FF8"/>
    <w:rsid w:val="003D0578"/>
    <w:rsid w:val="003D0988"/>
    <w:rsid w:val="003D181C"/>
    <w:rsid w:val="003D1C26"/>
    <w:rsid w:val="003D1CA4"/>
    <w:rsid w:val="003D2F04"/>
    <w:rsid w:val="003D3DC5"/>
    <w:rsid w:val="003D3F9A"/>
    <w:rsid w:val="003D445B"/>
    <w:rsid w:val="003D78F4"/>
    <w:rsid w:val="003D7C65"/>
    <w:rsid w:val="003E19E7"/>
    <w:rsid w:val="003E2C39"/>
    <w:rsid w:val="003E2F32"/>
    <w:rsid w:val="003E2FCF"/>
    <w:rsid w:val="003E334C"/>
    <w:rsid w:val="003E43B6"/>
    <w:rsid w:val="003E4F93"/>
    <w:rsid w:val="003E7962"/>
    <w:rsid w:val="003F020B"/>
    <w:rsid w:val="003F086F"/>
    <w:rsid w:val="003F08B4"/>
    <w:rsid w:val="003F0B36"/>
    <w:rsid w:val="003F1222"/>
    <w:rsid w:val="003F2A1E"/>
    <w:rsid w:val="003F31E6"/>
    <w:rsid w:val="003F4444"/>
    <w:rsid w:val="003F4BA5"/>
    <w:rsid w:val="003F4C0F"/>
    <w:rsid w:val="003F527D"/>
    <w:rsid w:val="003F5290"/>
    <w:rsid w:val="003F5F88"/>
    <w:rsid w:val="00400463"/>
    <w:rsid w:val="00400F12"/>
    <w:rsid w:val="00400F54"/>
    <w:rsid w:val="004062FA"/>
    <w:rsid w:val="00406582"/>
    <w:rsid w:val="00407435"/>
    <w:rsid w:val="00410A5A"/>
    <w:rsid w:val="00412C36"/>
    <w:rsid w:val="00412DA3"/>
    <w:rsid w:val="00415FFA"/>
    <w:rsid w:val="0041643C"/>
    <w:rsid w:val="00416855"/>
    <w:rsid w:val="00416D8E"/>
    <w:rsid w:val="00416FD1"/>
    <w:rsid w:val="00417123"/>
    <w:rsid w:val="004172C7"/>
    <w:rsid w:val="004174EE"/>
    <w:rsid w:val="00420316"/>
    <w:rsid w:val="00420D7C"/>
    <w:rsid w:val="004211DF"/>
    <w:rsid w:val="0042174B"/>
    <w:rsid w:val="00422516"/>
    <w:rsid w:val="0042253B"/>
    <w:rsid w:val="004230FF"/>
    <w:rsid w:val="00424108"/>
    <w:rsid w:val="00424911"/>
    <w:rsid w:val="004256AC"/>
    <w:rsid w:val="00425F83"/>
    <w:rsid w:val="004266F7"/>
    <w:rsid w:val="00426B71"/>
    <w:rsid w:val="00431000"/>
    <w:rsid w:val="00434142"/>
    <w:rsid w:val="00434236"/>
    <w:rsid w:val="00434507"/>
    <w:rsid w:val="0043483C"/>
    <w:rsid w:val="00435519"/>
    <w:rsid w:val="0043573F"/>
    <w:rsid w:val="0043768F"/>
    <w:rsid w:val="004376B7"/>
    <w:rsid w:val="00437C7F"/>
    <w:rsid w:val="00440041"/>
    <w:rsid w:val="00440D1A"/>
    <w:rsid w:val="00440DD0"/>
    <w:rsid w:val="00441884"/>
    <w:rsid w:val="00441FFA"/>
    <w:rsid w:val="00442AD1"/>
    <w:rsid w:val="004445F3"/>
    <w:rsid w:val="00444785"/>
    <w:rsid w:val="00445953"/>
    <w:rsid w:val="00446797"/>
    <w:rsid w:val="00447182"/>
    <w:rsid w:val="00447247"/>
    <w:rsid w:val="0044780E"/>
    <w:rsid w:val="00450411"/>
    <w:rsid w:val="004506D2"/>
    <w:rsid w:val="00451C38"/>
    <w:rsid w:val="004528F5"/>
    <w:rsid w:val="00453111"/>
    <w:rsid w:val="00453737"/>
    <w:rsid w:val="004538B0"/>
    <w:rsid w:val="004547FA"/>
    <w:rsid w:val="004550ED"/>
    <w:rsid w:val="00455327"/>
    <w:rsid w:val="004565BB"/>
    <w:rsid w:val="004566B5"/>
    <w:rsid w:val="00456918"/>
    <w:rsid w:val="00457254"/>
    <w:rsid w:val="004577D6"/>
    <w:rsid w:val="00460635"/>
    <w:rsid w:val="004606F4"/>
    <w:rsid w:val="0046085C"/>
    <w:rsid w:val="0046157E"/>
    <w:rsid w:val="0046262D"/>
    <w:rsid w:val="00463B4E"/>
    <w:rsid w:val="0046428C"/>
    <w:rsid w:val="004653F6"/>
    <w:rsid w:val="00466319"/>
    <w:rsid w:val="0046684A"/>
    <w:rsid w:val="00466ECE"/>
    <w:rsid w:val="004670FF"/>
    <w:rsid w:val="00472003"/>
    <w:rsid w:val="0047450C"/>
    <w:rsid w:val="004752A7"/>
    <w:rsid w:val="00476320"/>
    <w:rsid w:val="0047641F"/>
    <w:rsid w:val="004769FF"/>
    <w:rsid w:val="0048034F"/>
    <w:rsid w:val="0048095D"/>
    <w:rsid w:val="0048107B"/>
    <w:rsid w:val="004810D4"/>
    <w:rsid w:val="0048113D"/>
    <w:rsid w:val="00481BD2"/>
    <w:rsid w:val="0048213F"/>
    <w:rsid w:val="00482207"/>
    <w:rsid w:val="004836A7"/>
    <w:rsid w:val="00483A05"/>
    <w:rsid w:val="004854C5"/>
    <w:rsid w:val="00485CAC"/>
    <w:rsid w:val="004860BB"/>
    <w:rsid w:val="004865E9"/>
    <w:rsid w:val="00486986"/>
    <w:rsid w:val="00486DCF"/>
    <w:rsid w:val="00487695"/>
    <w:rsid w:val="004879A8"/>
    <w:rsid w:val="00490237"/>
    <w:rsid w:val="00491641"/>
    <w:rsid w:val="004916B3"/>
    <w:rsid w:val="00491C24"/>
    <w:rsid w:val="00492245"/>
    <w:rsid w:val="004927D3"/>
    <w:rsid w:val="00492B87"/>
    <w:rsid w:val="00492E86"/>
    <w:rsid w:val="00492FBD"/>
    <w:rsid w:val="004944BA"/>
    <w:rsid w:val="004947C6"/>
    <w:rsid w:val="00494EC1"/>
    <w:rsid w:val="0049587E"/>
    <w:rsid w:val="0049619D"/>
    <w:rsid w:val="0049646C"/>
    <w:rsid w:val="00496689"/>
    <w:rsid w:val="00497190"/>
    <w:rsid w:val="0049753F"/>
    <w:rsid w:val="00497A9A"/>
    <w:rsid w:val="00497B85"/>
    <w:rsid w:val="004A0D59"/>
    <w:rsid w:val="004A10B5"/>
    <w:rsid w:val="004A21FD"/>
    <w:rsid w:val="004A2375"/>
    <w:rsid w:val="004A2F63"/>
    <w:rsid w:val="004A41DF"/>
    <w:rsid w:val="004A46C1"/>
    <w:rsid w:val="004A5756"/>
    <w:rsid w:val="004A6461"/>
    <w:rsid w:val="004A7316"/>
    <w:rsid w:val="004A745C"/>
    <w:rsid w:val="004A770C"/>
    <w:rsid w:val="004A78DC"/>
    <w:rsid w:val="004A7DED"/>
    <w:rsid w:val="004B0352"/>
    <w:rsid w:val="004B049C"/>
    <w:rsid w:val="004B0969"/>
    <w:rsid w:val="004B0B53"/>
    <w:rsid w:val="004B1B1C"/>
    <w:rsid w:val="004B221E"/>
    <w:rsid w:val="004B39DE"/>
    <w:rsid w:val="004B445A"/>
    <w:rsid w:val="004B4757"/>
    <w:rsid w:val="004B543D"/>
    <w:rsid w:val="004B5456"/>
    <w:rsid w:val="004B622E"/>
    <w:rsid w:val="004B7062"/>
    <w:rsid w:val="004B7072"/>
    <w:rsid w:val="004C053E"/>
    <w:rsid w:val="004C0AC1"/>
    <w:rsid w:val="004C0E43"/>
    <w:rsid w:val="004C196B"/>
    <w:rsid w:val="004C3CC4"/>
    <w:rsid w:val="004C4109"/>
    <w:rsid w:val="004C4B1D"/>
    <w:rsid w:val="004C54D3"/>
    <w:rsid w:val="004C6111"/>
    <w:rsid w:val="004C6820"/>
    <w:rsid w:val="004C7481"/>
    <w:rsid w:val="004C7AE6"/>
    <w:rsid w:val="004D00E1"/>
    <w:rsid w:val="004D06F5"/>
    <w:rsid w:val="004D0DB4"/>
    <w:rsid w:val="004D1336"/>
    <w:rsid w:val="004D1BFC"/>
    <w:rsid w:val="004D2084"/>
    <w:rsid w:val="004D35AD"/>
    <w:rsid w:val="004D488B"/>
    <w:rsid w:val="004D56A7"/>
    <w:rsid w:val="004D5B5E"/>
    <w:rsid w:val="004D6CAB"/>
    <w:rsid w:val="004D7164"/>
    <w:rsid w:val="004D7680"/>
    <w:rsid w:val="004D7CF8"/>
    <w:rsid w:val="004E1A34"/>
    <w:rsid w:val="004E1D9F"/>
    <w:rsid w:val="004E2A12"/>
    <w:rsid w:val="004E3BD5"/>
    <w:rsid w:val="004E4672"/>
    <w:rsid w:val="004E4673"/>
    <w:rsid w:val="004E531B"/>
    <w:rsid w:val="004E5C7D"/>
    <w:rsid w:val="004E6C8F"/>
    <w:rsid w:val="004E7F83"/>
    <w:rsid w:val="004F15F0"/>
    <w:rsid w:val="004F226F"/>
    <w:rsid w:val="004F236C"/>
    <w:rsid w:val="004F3405"/>
    <w:rsid w:val="004F34C2"/>
    <w:rsid w:val="004F5D40"/>
    <w:rsid w:val="004F5E81"/>
    <w:rsid w:val="004F6889"/>
    <w:rsid w:val="004F7BEC"/>
    <w:rsid w:val="00500587"/>
    <w:rsid w:val="0050161C"/>
    <w:rsid w:val="00501D0B"/>
    <w:rsid w:val="00502A1C"/>
    <w:rsid w:val="00504541"/>
    <w:rsid w:val="00504DA9"/>
    <w:rsid w:val="0050628B"/>
    <w:rsid w:val="0050640A"/>
    <w:rsid w:val="00506707"/>
    <w:rsid w:val="005069F7"/>
    <w:rsid w:val="00506FF2"/>
    <w:rsid w:val="00513A0A"/>
    <w:rsid w:val="00514773"/>
    <w:rsid w:val="00515D0E"/>
    <w:rsid w:val="005161DC"/>
    <w:rsid w:val="005174E3"/>
    <w:rsid w:val="005205A1"/>
    <w:rsid w:val="00520A59"/>
    <w:rsid w:val="0052120D"/>
    <w:rsid w:val="0052165E"/>
    <w:rsid w:val="00521AC8"/>
    <w:rsid w:val="00522122"/>
    <w:rsid w:val="005221C5"/>
    <w:rsid w:val="005226DF"/>
    <w:rsid w:val="005232BD"/>
    <w:rsid w:val="00523F3D"/>
    <w:rsid w:val="0052487A"/>
    <w:rsid w:val="005258EF"/>
    <w:rsid w:val="00525DC7"/>
    <w:rsid w:val="00526186"/>
    <w:rsid w:val="00526E0D"/>
    <w:rsid w:val="00527353"/>
    <w:rsid w:val="0053071B"/>
    <w:rsid w:val="0053235D"/>
    <w:rsid w:val="00533DFC"/>
    <w:rsid w:val="00534416"/>
    <w:rsid w:val="0053523A"/>
    <w:rsid w:val="00536481"/>
    <w:rsid w:val="0053664D"/>
    <w:rsid w:val="00536910"/>
    <w:rsid w:val="005405BF"/>
    <w:rsid w:val="0054206C"/>
    <w:rsid w:val="005421C2"/>
    <w:rsid w:val="00542E0B"/>
    <w:rsid w:val="00542FCB"/>
    <w:rsid w:val="005478D1"/>
    <w:rsid w:val="00547CBA"/>
    <w:rsid w:val="005514E1"/>
    <w:rsid w:val="005526F7"/>
    <w:rsid w:val="005528AD"/>
    <w:rsid w:val="00552A6F"/>
    <w:rsid w:val="00552ED3"/>
    <w:rsid w:val="00553E30"/>
    <w:rsid w:val="005543F8"/>
    <w:rsid w:val="00554768"/>
    <w:rsid w:val="00555C22"/>
    <w:rsid w:val="00560902"/>
    <w:rsid w:val="00560B49"/>
    <w:rsid w:val="00561A96"/>
    <w:rsid w:val="00562E45"/>
    <w:rsid w:val="00562F6A"/>
    <w:rsid w:val="00563677"/>
    <w:rsid w:val="005638BE"/>
    <w:rsid w:val="00563A36"/>
    <w:rsid w:val="00563B24"/>
    <w:rsid w:val="00563C76"/>
    <w:rsid w:val="00564212"/>
    <w:rsid w:val="00564D0D"/>
    <w:rsid w:val="00564D91"/>
    <w:rsid w:val="0056587A"/>
    <w:rsid w:val="00565921"/>
    <w:rsid w:val="00565B80"/>
    <w:rsid w:val="00566757"/>
    <w:rsid w:val="005669C0"/>
    <w:rsid w:val="00566B62"/>
    <w:rsid w:val="00567386"/>
    <w:rsid w:val="005675AB"/>
    <w:rsid w:val="00570350"/>
    <w:rsid w:val="00570982"/>
    <w:rsid w:val="0057120C"/>
    <w:rsid w:val="005712DD"/>
    <w:rsid w:val="00571AAB"/>
    <w:rsid w:val="005739BC"/>
    <w:rsid w:val="00573D70"/>
    <w:rsid w:val="00575633"/>
    <w:rsid w:val="00575906"/>
    <w:rsid w:val="00575F40"/>
    <w:rsid w:val="005805A2"/>
    <w:rsid w:val="00581658"/>
    <w:rsid w:val="005819D3"/>
    <w:rsid w:val="0058212C"/>
    <w:rsid w:val="00582BC6"/>
    <w:rsid w:val="005851B7"/>
    <w:rsid w:val="00585E6A"/>
    <w:rsid w:val="00585F01"/>
    <w:rsid w:val="00586556"/>
    <w:rsid w:val="00586E48"/>
    <w:rsid w:val="00587154"/>
    <w:rsid w:val="00587B5A"/>
    <w:rsid w:val="00590D09"/>
    <w:rsid w:val="005919CD"/>
    <w:rsid w:val="005919DA"/>
    <w:rsid w:val="00593E3C"/>
    <w:rsid w:val="00593E4C"/>
    <w:rsid w:val="00594626"/>
    <w:rsid w:val="00595619"/>
    <w:rsid w:val="0059565F"/>
    <w:rsid w:val="0059573F"/>
    <w:rsid w:val="0059579B"/>
    <w:rsid w:val="00596E23"/>
    <w:rsid w:val="005973E2"/>
    <w:rsid w:val="0059798B"/>
    <w:rsid w:val="005A0141"/>
    <w:rsid w:val="005A0503"/>
    <w:rsid w:val="005A0B1F"/>
    <w:rsid w:val="005A129A"/>
    <w:rsid w:val="005A283E"/>
    <w:rsid w:val="005A2C2C"/>
    <w:rsid w:val="005A2F84"/>
    <w:rsid w:val="005A348F"/>
    <w:rsid w:val="005A3AF1"/>
    <w:rsid w:val="005A5730"/>
    <w:rsid w:val="005A7901"/>
    <w:rsid w:val="005A7DC5"/>
    <w:rsid w:val="005A7E1F"/>
    <w:rsid w:val="005B1234"/>
    <w:rsid w:val="005B3BB9"/>
    <w:rsid w:val="005B3D70"/>
    <w:rsid w:val="005B4043"/>
    <w:rsid w:val="005B4B06"/>
    <w:rsid w:val="005B57D2"/>
    <w:rsid w:val="005B6C03"/>
    <w:rsid w:val="005B7BBD"/>
    <w:rsid w:val="005C1572"/>
    <w:rsid w:val="005C1F4B"/>
    <w:rsid w:val="005C248B"/>
    <w:rsid w:val="005C2571"/>
    <w:rsid w:val="005C3652"/>
    <w:rsid w:val="005C455A"/>
    <w:rsid w:val="005C5B18"/>
    <w:rsid w:val="005C5F20"/>
    <w:rsid w:val="005C61B8"/>
    <w:rsid w:val="005C6D1F"/>
    <w:rsid w:val="005C7282"/>
    <w:rsid w:val="005D0658"/>
    <w:rsid w:val="005D07A1"/>
    <w:rsid w:val="005D0A80"/>
    <w:rsid w:val="005D27AB"/>
    <w:rsid w:val="005D35B9"/>
    <w:rsid w:val="005D3810"/>
    <w:rsid w:val="005D4F00"/>
    <w:rsid w:val="005D5215"/>
    <w:rsid w:val="005E18A0"/>
    <w:rsid w:val="005E27FC"/>
    <w:rsid w:val="005E30F9"/>
    <w:rsid w:val="005E4247"/>
    <w:rsid w:val="005E43C6"/>
    <w:rsid w:val="005E4CD6"/>
    <w:rsid w:val="005E4E69"/>
    <w:rsid w:val="005E5221"/>
    <w:rsid w:val="005E72B9"/>
    <w:rsid w:val="005E74CB"/>
    <w:rsid w:val="005F0929"/>
    <w:rsid w:val="005F17F6"/>
    <w:rsid w:val="005F189C"/>
    <w:rsid w:val="005F28A5"/>
    <w:rsid w:val="005F3883"/>
    <w:rsid w:val="005F3C56"/>
    <w:rsid w:val="005F3DD6"/>
    <w:rsid w:val="005F4BB6"/>
    <w:rsid w:val="005F5721"/>
    <w:rsid w:val="005F60A2"/>
    <w:rsid w:val="005F738D"/>
    <w:rsid w:val="005F7CAE"/>
    <w:rsid w:val="00602AF4"/>
    <w:rsid w:val="006045DD"/>
    <w:rsid w:val="006047BA"/>
    <w:rsid w:val="00605D35"/>
    <w:rsid w:val="00605FFA"/>
    <w:rsid w:val="00606D51"/>
    <w:rsid w:val="006071DE"/>
    <w:rsid w:val="0061087C"/>
    <w:rsid w:val="006112F6"/>
    <w:rsid w:val="006119C3"/>
    <w:rsid w:val="006119EF"/>
    <w:rsid w:val="00612991"/>
    <w:rsid w:val="00612B72"/>
    <w:rsid w:val="006150E2"/>
    <w:rsid w:val="006155AD"/>
    <w:rsid w:val="00615F17"/>
    <w:rsid w:val="0061651D"/>
    <w:rsid w:val="0061684B"/>
    <w:rsid w:val="006176EF"/>
    <w:rsid w:val="0062017D"/>
    <w:rsid w:val="00621059"/>
    <w:rsid w:val="00621176"/>
    <w:rsid w:val="00623843"/>
    <w:rsid w:val="00623A6B"/>
    <w:rsid w:val="0062409B"/>
    <w:rsid w:val="00624274"/>
    <w:rsid w:val="006245AB"/>
    <w:rsid w:val="00624ED0"/>
    <w:rsid w:val="00625183"/>
    <w:rsid w:val="00626E10"/>
    <w:rsid w:val="00626E97"/>
    <w:rsid w:val="0063157D"/>
    <w:rsid w:val="00631924"/>
    <w:rsid w:val="00633AA4"/>
    <w:rsid w:val="006344E8"/>
    <w:rsid w:val="00635913"/>
    <w:rsid w:val="00635E6F"/>
    <w:rsid w:val="00637FB8"/>
    <w:rsid w:val="00640110"/>
    <w:rsid w:val="00640DD0"/>
    <w:rsid w:val="006410FD"/>
    <w:rsid w:val="006413A6"/>
    <w:rsid w:val="00641753"/>
    <w:rsid w:val="00641C87"/>
    <w:rsid w:val="006425C6"/>
    <w:rsid w:val="00645DC3"/>
    <w:rsid w:val="006467B4"/>
    <w:rsid w:val="00651C70"/>
    <w:rsid w:val="00651FC9"/>
    <w:rsid w:val="0065248A"/>
    <w:rsid w:val="00652902"/>
    <w:rsid w:val="006547E6"/>
    <w:rsid w:val="006551A3"/>
    <w:rsid w:val="00655309"/>
    <w:rsid w:val="00655E8D"/>
    <w:rsid w:val="00655ECC"/>
    <w:rsid w:val="00656B73"/>
    <w:rsid w:val="0066140F"/>
    <w:rsid w:val="006621B2"/>
    <w:rsid w:val="0066721F"/>
    <w:rsid w:val="0066767B"/>
    <w:rsid w:val="00670636"/>
    <w:rsid w:val="00670DE6"/>
    <w:rsid w:val="0067112E"/>
    <w:rsid w:val="00671389"/>
    <w:rsid w:val="00673634"/>
    <w:rsid w:val="00673A69"/>
    <w:rsid w:val="00673F4A"/>
    <w:rsid w:val="0067491F"/>
    <w:rsid w:val="00676226"/>
    <w:rsid w:val="00676B31"/>
    <w:rsid w:val="00676E1D"/>
    <w:rsid w:val="00676EC7"/>
    <w:rsid w:val="00677999"/>
    <w:rsid w:val="00680DA7"/>
    <w:rsid w:val="006814B5"/>
    <w:rsid w:val="00683EE1"/>
    <w:rsid w:val="00683FBA"/>
    <w:rsid w:val="00684896"/>
    <w:rsid w:val="006853F9"/>
    <w:rsid w:val="0068558A"/>
    <w:rsid w:val="006856E8"/>
    <w:rsid w:val="00686329"/>
    <w:rsid w:val="006866C8"/>
    <w:rsid w:val="00687D32"/>
    <w:rsid w:val="006913BF"/>
    <w:rsid w:val="00691C28"/>
    <w:rsid w:val="00692199"/>
    <w:rsid w:val="00692C59"/>
    <w:rsid w:val="00693565"/>
    <w:rsid w:val="00693F6C"/>
    <w:rsid w:val="006945B8"/>
    <w:rsid w:val="00694643"/>
    <w:rsid w:val="0069465A"/>
    <w:rsid w:val="00695B88"/>
    <w:rsid w:val="0069609C"/>
    <w:rsid w:val="0069620D"/>
    <w:rsid w:val="00696FBE"/>
    <w:rsid w:val="006973CB"/>
    <w:rsid w:val="006A0314"/>
    <w:rsid w:val="006A0928"/>
    <w:rsid w:val="006A1EB7"/>
    <w:rsid w:val="006A2058"/>
    <w:rsid w:val="006A21D6"/>
    <w:rsid w:val="006A23A0"/>
    <w:rsid w:val="006A2602"/>
    <w:rsid w:val="006A274F"/>
    <w:rsid w:val="006A39DC"/>
    <w:rsid w:val="006A4143"/>
    <w:rsid w:val="006A4820"/>
    <w:rsid w:val="006A4B12"/>
    <w:rsid w:val="006A4DAA"/>
    <w:rsid w:val="006A5075"/>
    <w:rsid w:val="006A5FC8"/>
    <w:rsid w:val="006A6F1D"/>
    <w:rsid w:val="006B0034"/>
    <w:rsid w:val="006B11DD"/>
    <w:rsid w:val="006B188C"/>
    <w:rsid w:val="006B19A3"/>
    <w:rsid w:val="006B25EC"/>
    <w:rsid w:val="006B360C"/>
    <w:rsid w:val="006B3DAA"/>
    <w:rsid w:val="006B4CA1"/>
    <w:rsid w:val="006B648B"/>
    <w:rsid w:val="006B7E43"/>
    <w:rsid w:val="006C02A4"/>
    <w:rsid w:val="006C181A"/>
    <w:rsid w:val="006C1C4C"/>
    <w:rsid w:val="006C1F8C"/>
    <w:rsid w:val="006C48A6"/>
    <w:rsid w:val="006C5097"/>
    <w:rsid w:val="006C6D05"/>
    <w:rsid w:val="006C6E65"/>
    <w:rsid w:val="006D1788"/>
    <w:rsid w:val="006D2128"/>
    <w:rsid w:val="006D5946"/>
    <w:rsid w:val="006D71B8"/>
    <w:rsid w:val="006E0CF4"/>
    <w:rsid w:val="006E13E6"/>
    <w:rsid w:val="006E1A45"/>
    <w:rsid w:val="006E1E51"/>
    <w:rsid w:val="006E2546"/>
    <w:rsid w:val="006E2736"/>
    <w:rsid w:val="006E31DB"/>
    <w:rsid w:val="006E395D"/>
    <w:rsid w:val="006E3BB1"/>
    <w:rsid w:val="006E536D"/>
    <w:rsid w:val="006E719C"/>
    <w:rsid w:val="006E73E2"/>
    <w:rsid w:val="006F118E"/>
    <w:rsid w:val="006F1A29"/>
    <w:rsid w:val="006F1EBD"/>
    <w:rsid w:val="006F217B"/>
    <w:rsid w:val="006F25CA"/>
    <w:rsid w:val="006F3B7F"/>
    <w:rsid w:val="006F3E3E"/>
    <w:rsid w:val="006F4726"/>
    <w:rsid w:val="006F5624"/>
    <w:rsid w:val="006F604E"/>
    <w:rsid w:val="006F61A9"/>
    <w:rsid w:val="006F6958"/>
    <w:rsid w:val="006F748D"/>
    <w:rsid w:val="006F7CD5"/>
    <w:rsid w:val="006F7D56"/>
    <w:rsid w:val="007003BF"/>
    <w:rsid w:val="00700DEB"/>
    <w:rsid w:val="0070193C"/>
    <w:rsid w:val="00702006"/>
    <w:rsid w:val="0070309A"/>
    <w:rsid w:val="007052F2"/>
    <w:rsid w:val="00705FB8"/>
    <w:rsid w:val="007060F4"/>
    <w:rsid w:val="007063FF"/>
    <w:rsid w:val="00706922"/>
    <w:rsid w:val="00710CAF"/>
    <w:rsid w:val="00711322"/>
    <w:rsid w:val="007116B1"/>
    <w:rsid w:val="007117D8"/>
    <w:rsid w:val="0071370D"/>
    <w:rsid w:val="00715408"/>
    <w:rsid w:val="00715447"/>
    <w:rsid w:val="007159BD"/>
    <w:rsid w:val="00715C70"/>
    <w:rsid w:val="00716F83"/>
    <w:rsid w:val="007172CD"/>
    <w:rsid w:val="00717808"/>
    <w:rsid w:val="00717814"/>
    <w:rsid w:val="0072016D"/>
    <w:rsid w:val="007209A1"/>
    <w:rsid w:val="007214FC"/>
    <w:rsid w:val="007216BD"/>
    <w:rsid w:val="007227F5"/>
    <w:rsid w:val="00722AAF"/>
    <w:rsid w:val="00722B82"/>
    <w:rsid w:val="007231FB"/>
    <w:rsid w:val="007235A5"/>
    <w:rsid w:val="00723686"/>
    <w:rsid w:val="00723ACD"/>
    <w:rsid w:val="0072435B"/>
    <w:rsid w:val="00725571"/>
    <w:rsid w:val="0072610D"/>
    <w:rsid w:val="00730D6B"/>
    <w:rsid w:val="007314A8"/>
    <w:rsid w:val="0073153A"/>
    <w:rsid w:val="00731B06"/>
    <w:rsid w:val="00731CC8"/>
    <w:rsid w:val="00733E78"/>
    <w:rsid w:val="007345E0"/>
    <w:rsid w:val="007347BC"/>
    <w:rsid w:val="00735AC9"/>
    <w:rsid w:val="007371EF"/>
    <w:rsid w:val="0073772A"/>
    <w:rsid w:val="007379CC"/>
    <w:rsid w:val="00737A07"/>
    <w:rsid w:val="00740AC5"/>
    <w:rsid w:val="00741139"/>
    <w:rsid w:val="00741D41"/>
    <w:rsid w:val="00741FB9"/>
    <w:rsid w:val="0074219F"/>
    <w:rsid w:val="00742734"/>
    <w:rsid w:val="0074524A"/>
    <w:rsid w:val="007452FB"/>
    <w:rsid w:val="00746249"/>
    <w:rsid w:val="007479E2"/>
    <w:rsid w:val="00747FC4"/>
    <w:rsid w:val="0075008E"/>
    <w:rsid w:val="00751DB7"/>
    <w:rsid w:val="00753754"/>
    <w:rsid w:val="007537B3"/>
    <w:rsid w:val="007548E7"/>
    <w:rsid w:val="00755519"/>
    <w:rsid w:val="00756983"/>
    <w:rsid w:val="00756A8E"/>
    <w:rsid w:val="007614C4"/>
    <w:rsid w:val="00761D06"/>
    <w:rsid w:val="00763E4D"/>
    <w:rsid w:val="0076649E"/>
    <w:rsid w:val="00766B83"/>
    <w:rsid w:val="00766BBC"/>
    <w:rsid w:val="00771074"/>
    <w:rsid w:val="00772083"/>
    <w:rsid w:val="007730DD"/>
    <w:rsid w:val="00773B1D"/>
    <w:rsid w:val="007740A4"/>
    <w:rsid w:val="007749E8"/>
    <w:rsid w:val="00774FE7"/>
    <w:rsid w:val="00775EB0"/>
    <w:rsid w:val="00776AF2"/>
    <w:rsid w:val="00780430"/>
    <w:rsid w:val="00780696"/>
    <w:rsid w:val="00782A66"/>
    <w:rsid w:val="007839F8"/>
    <w:rsid w:val="00783A5D"/>
    <w:rsid w:val="00783E84"/>
    <w:rsid w:val="0078486C"/>
    <w:rsid w:val="007863FA"/>
    <w:rsid w:val="0078778F"/>
    <w:rsid w:val="0079009A"/>
    <w:rsid w:val="00791490"/>
    <w:rsid w:val="0079244D"/>
    <w:rsid w:val="00792E78"/>
    <w:rsid w:val="00792FB9"/>
    <w:rsid w:val="00793357"/>
    <w:rsid w:val="007935C6"/>
    <w:rsid w:val="007942C4"/>
    <w:rsid w:val="00794C05"/>
    <w:rsid w:val="00796170"/>
    <w:rsid w:val="007967E8"/>
    <w:rsid w:val="00797E94"/>
    <w:rsid w:val="007A0158"/>
    <w:rsid w:val="007A0613"/>
    <w:rsid w:val="007A0E24"/>
    <w:rsid w:val="007A163D"/>
    <w:rsid w:val="007A1DC1"/>
    <w:rsid w:val="007A49B8"/>
    <w:rsid w:val="007A66D9"/>
    <w:rsid w:val="007A6D84"/>
    <w:rsid w:val="007A71FF"/>
    <w:rsid w:val="007A77DA"/>
    <w:rsid w:val="007B0C26"/>
    <w:rsid w:val="007B1A49"/>
    <w:rsid w:val="007B1B22"/>
    <w:rsid w:val="007B41A1"/>
    <w:rsid w:val="007B41DF"/>
    <w:rsid w:val="007B44E0"/>
    <w:rsid w:val="007B48EB"/>
    <w:rsid w:val="007B4DC0"/>
    <w:rsid w:val="007B52AC"/>
    <w:rsid w:val="007B6367"/>
    <w:rsid w:val="007B6522"/>
    <w:rsid w:val="007C0A07"/>
    <w:rsid w:val="007C0F1C"/>
    <w:rsid w:val="007C1686"/>
    <w:rsid w:val="007C1B7B"/>
    <w:rsid w:val="007C302E"/>
    <w:rsid w:val="007C3C8C"/>
    <w:rsid w:val="007C4293"/>
    <w:rsid w:val="007C4527"/>
    <w:rsid w:val="007C508F"/>
    <w:rsid w:val="007C5330"/>
    <w:rsid w:val="007C5CDC"/>
    <w:rsid w:val="007C74D9"/>
    <w:rsid w:val="007C7B9D"/>
    <w:rsid w:val="007D0DA8"/>
    <w:rsid w:val="007D16BA"/>
    <w:rsid w:val="007D1B22"/>
    <w:rsid w:val="007D1DB8"/>
    <w:rsid w:val="007D1E27"/>
    <w:rsid w:val="007D278D"/>
    <w:rsid w:val="007D2DEE"/>
    <w:rsid w:val="007D3339"/>
    <w:rsid w:val="007D39D4"/>
    <w:rsid w:val="007D4701"/>
    <w:rsid w:val="007D4C06"/>
    <w:rsid w:val="007D65C0"/>
    <w:rsid w:val="007D6723"/>
    <w:rsid w:val="007D7466"/>
    <w:rsid w:val="007D75A8"/>
    <w:rsid w:val="007D7B00"/>
    <w:rsid w:val="007D7B4A"/>
    <w:rsid w:val="007E0138"/>
    <w:rsid w:val="007E0806"/>
    <w:rsid w:val="007E0EAE"/>
    <w:rsid w:val="007E16CE"/>
    <w:rsid w:val="007E1BBF"/>
    <w:rsid w:val="007E213B"/>
    <w:rsid w:val="007E28F8"/>
    <w:rsid w:val="007E37EA"/>
    <w:rsid w:val="007E4B92"/>
    <w:rsid w:val="007E4E15"/>
    <w:rsid w:val="007E7017"/>
    <w:rsid w:val="007E7146"/>
    <w:rsid w:val="007F06BD"/>
    <w:rsid w:val="007F16D3"/>
    <w:rsid w:val="007F2206"/>
    <w:rsid w:val="007F2259"/>
    <w:rsid w:val="007F3B9C"/>
    <w:rsid w:val="007F3E72"/>
    <w:rsid w:val="007F461D"/>
    <w:rsid w:val="007F47ED"/>
    <w:rsid w:val="007F52E3"/>
    <w:rsid w:val="007F5406"/>
    <w:rsid w:val="007F67F1"/>
    <w:rsid w:val="007F6D74"/>
    <w:rsid w:val="007F72B1"/>
    <w:rsid w:val="007F7442"/>
    <w:rsid w:val="007F77C3"/>
    <w:rsid w:val="007F7F2F"/>
    <w:rsid w:val="00800D62"/>
    <w:rsid w:val="008014CC"/>
    <w:rsid w:val="008021BA"/>
    <w:rsid w:val="0080260A"/>
    <w:rsid w:val="00803C60"/>
    <w:rsid w:val="008054A3"/>
    <w:rsid w:val="00805DA0"/>
    <w:rsid w:val="008067DC"/>
    <w:rsid w:val="00807757"/>
    <w:rsid w:val="008079AA"/>
    <w:rsid w:val="00807A70"/>
    <w:rsid w:val="00810745"/>
    <w:rsid w:val="00810B39"/>
    <w:rsid w:val="00811AE4"/>
    <w:rsid w:val="0081201B"/>
    <w:rsid w:val="008135C1"/>
    <w:rsid w:val="0081467A"/>
    <w:rsid w:val="00815DAE"/>
    <w:rsid w:val="00821892"/>
    <w:rsid w:val="00821B25"/>
    <w:rsid w:val="00821CF4"/>
    <w:rsid w:val="00822C64"/>
    <w:rsid w:val="00822FC3"/>
    <w:rsid w:val="00822FC4"/>
    <w:rsid w:val="008238DC"/>
    <w:rsid w:val="008240A9"/>
    <w:rsid w:val="0082741C"/>
    <w:rsid w:val="00832690"/>
    <w:rsid w:val="00832720"/>
    <w:rsid w:val="00832A7B"/>
    <w:rsid w:val="00833289"/>
    <w:rsid w:val="00833681"/>
    <w:rsid w:val="008352C9"/>
    <w:rsid w:val="00836AB4"/>
    <w:rsid w:val="00837740"/>
    <w:rsid w:val="008413A5"/>
    <w:rsid w:val="00841968"/>
    <w:rsid w:val="0084313F"/>
    <w:rsid w:val="00843E43"/>
    <w:rsid w:val="0084419A"/>
    <w:rsid w:val="00844F21"/>
    <w:rsid w:val="008453E3"/>
    <w:rsid w:val="00845865"/>
    <w:rsid w:val="00845D71"/>
    <w:rsid w:val="00847138"/>
    <w:rsid w:val="008477A3"/>
    <w:rsid w:val="00847974"/>
    <w:rsid w:val="008502F2"/>
    <w:rsid w:val="00852A71"/>
    <w:rsid w:val="00852EB0"/>
    <w:rsid w:val="0085311B"/>
    <w:rsid w:val="008539B4"/>
    <w:rsid w:val="00853F63"/>
    <w:rsid w:val="00854241"/>
    <w:rsid w:val="0085556C"/>
    <w:rsid w:val="00855626"/>
    <w:rsid w:val="00856068"/>
    <w:rsid w:val="008561E3"/>
    <w:rsid w:val="00856282"/>
    <w:rsid w:val="00857E04"/>
    <w:rsid w:val="008612AD"/>
    <w:rsid w:val="008615A5"/>
    <w:rsid w:val="00861C91"/>
    <w:rsid w:val="00862272"/>
    <w:rsid w:val="00862987"/>
    <w:rsid w:val="0086374E"/>
    <w:rsid w:val="00865D1E"/>
    <w:rsid w:val="00867243"/>
    <w:rsid w:val="008703CE"/>
    <w:rsid w:val="008712C9"/>
    <w:rsid w:val="008717FA"/>
    <w:rsid w:val="00872C7B"/>
    <w:rsid w:val="00872FE2"/>
    <w:rsid w:val="00872FF8"/>
    <w:rsid w:val="00873331"/>
    <w:rsid w:val="008752FB"/>
    <w:rsid w:val="008755D7"/>
    <w:rsid w:val="008763DE"/>
    <w:rsid w:val="0087737D"/>
    <w:rsid w:val="0088010D"/>
    <w:rsid w:val="008809AF"/>
    <w:rsid w:val="0088127F"/>
    <w:rsid w:val="008812D7"/>
    <w:rsid w:val="00881F77"/>
    <w:rsid w:val="00882018"/>
    <w:rsid w:val="008823A2"/>
    <w:rsid w:val="008823DF"/>
    <w:rsid w:val="00882582"/>
    <w:rsid w:val="00882B8F"/>
    <w:rsid w:val="00882D7F"/>
    <w:rsid w:val="008834E0"/>
    <w:rsid w:val="00883DAC"/>
    <w:rsid w:val="0088433F"/>
    <w:rsid w:val="00884392"/>
    <w:rsid w:val="00884FD6"/>
    <w:rsid w:val="00890849"/>
    <w:rsid w:val="0089193E"/>
    <w:rsid w:val="00893067"/>
    <w:rsid w:val="00894294"/>
    <w:rsid w:val="0089474A"/>
    <w:rsid w:val="00894A35"/>
    <w:rsid w:val="00895176"/>
    <w:rsid w:val="00895B8E"/>
    <w:rsid w:val="00896067"/>
    <w:rsid w:val="00896DCE"/>
    <w:rsid w:val="008A1C53"/>
    <w:rsid w:val="008A2027"/>
    <w:rsid w:val="008A2442"/>
    <w:rsid w:val="008A32B9"/>
    <w:rsid w:val="008A3C82"/>
    <w:rsid w:val="008A4597"/>
    <w:rsid w:val="008A485E"/>
    <w:rsid w:val="008A5912"/>
    <w:rsid w:val="008B17B0"/>
    <w:rsid w:val="008B1B2D"/>
    <w:rsid w:val="008B24BE"/>
    <w:rsid w:val="008B2650"/>
    <w:rsid w:val="008B26FE"/>
    <w:rsid w:val="008B2BA0"/>
    <w:rsid w:val="008B332F"/>
    <w:rsid w:val="008B43DC"/>
    <w:rsid w:val="008B54B9"/>
    <w:rsid w:val="008B5CAB"/>
    <w:rsid w:val="008B6960"/>
    <w:rsid w:val="008B6C83"/>
    <w:rsid w:val="008B777F"/>
    <w:rsid w:val="008C1737"/>
    <w:rsid w:val="008C18D4"/>
    <w:rsid w:val="008C2C8B"/>
    <w:rsid w:val="008C41B8"/>
    <w:rsid w:val="008C5491"/>
    <w:rsid w:val="008C6DB4"/>
    <w:rsid w:val="008C70D5"/>
    <w:rsid w:val="008D06D1"/>
    <w:rsid w:val="008D39A4"/>
    <w:rsid w:val="008D46FF"/>
    <w:rsid w:val="008D583C"/>
    <w:rsid w:val="008D603A"/>
    <w:rsid w:val="008D6A9C"/>
    <w:rsid w:val="008D7A28"/>
    <w:rsid w:val="008E0881"/>
    <w:rsid w:val="008E0CA5"/>
    <w:rsid w:val="008E108F"/>
    <w:rsid w:val="008E14FD"/>
    <w:rsid w:val="008E19E0"/>
    <w:rsid w:val="008E19FB"/>
    <w:rsid w:val="008E2A1C"/>
    <w:rsid w:val="008E2BB8"/>
    <w:rsid w:val="008E31B0"/>
    <w:rsid w:val="008E436E"/>
    <w:rsid w:val="008E43B8"/>
    <w:rsid w:val="008E4FE2"/>
    <w:rsid w:val="008E5D3F"/>
    <w:rsid w:val="008E5F65"/>
    <w:rsid w:val="008E6828"/>
    <w:rsid w:val="008F039E"/>
    <w:rsid w:val="008F1088"/>
    <w:rsid w:val="008F10B7"/>
    <w:rsid w:val="008F19CC"/>
    <w:rsid w:val="008F2A28"/>
    <w:rsid w:val="008F2E0C"/>
    <w:rsid w:val="008F3D50"/>
    <w:rsid w:val="008F3F59"/>
    <w:rsid w:val="008F4772"/>
    <w:rsid w:val="008F4AC1"/>
    <w:rsid w:val="008F7430"/>
    <w:rsid w:val="008F7DF0"/>
    <w:rsid w:val="00900C15"/>
    <w:rsid w:val="00900E57"/>
    <w:rsid w:val="009018B3"/>
    <w:rsid w:val="00902BE6"/>
    <w:rsid w:val="0090320D"/>
    <w:rsid w:val="00903B4F"/>
    <w:rsid w:val="00904082"/>
    <w:rsid w:val="00904E20"/>
    <w:rsid w:val="0090558C"/>
    <w:rsid w:val="00905EFE"/>
    <w:rsid w:val="00907C86"/>
    <w:rsid w:val="009101FE"/>
    <w:rsid w:val="00912530"/>
    <w:rsid w:val="00913290"/>
    <w:rsid w:val="0091458C"/>
    <w:rsid w:val="009148CE"/>
    <w:rsid w:val="00914B2C"/>
    <w:rsid w:val="0091541F"/>
    <w:rsid w:val="00917A45"/>
    <w:rsid w:val="00920821"/>
    <w:rsid w:val="009209AD"/>
    <w:rsid w:val="0092168F"/>
    <w:rsid w:val="00921B1C"/>
    <w:rsid w:val="0092257F"/>
    <w:rsid w:val="00922BD5"/>
    <w:rsid w:val="009231A8"/>
    <w:rsid w:val="0092365D"/>
    <w:rsid w:val="009248FA"/>
    <w:rsid w:val="00925E30"/>
    <w:rsid w:val="00925F6C"/>
    <w:rsid w:val="009269F7"/>
    <w:rsid w:val="00927A8F"/>
    <w:rsid w:val="00927E24"/>
    <w:rsid w:val="00927ED3"/>
    <w:rsid w:val="00931CFE"/>
    <w:rsid w:val="0093211E"/>
    <w:rsid w:val="0093283E"/>
    <w:rsid w:val="00933279"/>
    <w:rsid w:val="009342D6"/>
    <w:rsid w:val="0093596D"/>
    <w:rsid w:val="0093757D"/>
    <w:rsid w:val="009400E6"/>
    <w:rsid w:val="00940221"/>
    <w:rsid w:val="00940593"/>
    <w:rsid w:val="009410BC"/>
    <w:rsid w:val="009413CA"/>
    <w:rsid w:val="00941C88"/>
    <w:rsid w:val="0094228C"/>
    <w:rsid w:val="009425FD"/>
    <w:rsid w:val="0094273A"/>
    <w:rsid w:val="00944D82"/>
    <w:rsid w:val="00945AB7"/>
    <w:rsid w:val="009471DD"/>
    <w:rsid w:val="009479D9"/>
    <w:rsid w:val="0095095E"/>
    <w:rsid w:val="009512BF"/>
    <w:rsid w:val="00955572"/>
    <w:rsid w:val="0095610D"/>
    <w:rsid w:val="0095693B"/>
    <w:rsid w:val="009574A6"/>
    <w:rsid w:val="00957807"/>
    <w:rsid w:val="00957DE3"/>
    <w:rsid w:val="00960102"/>
    <w:rsid w:val="00961B78"/>
    <w:rsid w:val="009633B3"/>
    <w:rsid w:val="00963777"/>
    <w:rsid w:val="00964AC8"/>
    <w:rsid w:val="00964E89"/>
    <w:rsid w:val="00965382"/>
    <w:rsid w:val="0096579F"/>
    <w:rsid w:val="00965A33"/>
    <w:rsid w:val="00965AD6"/>
    <w:rsid w:val="00966D05"/>
    <w:rsid w:val="00966E48"/>
    <w:rsid w:val="00967B31"/>
    <w:rsid w:val="00970A5A"/>
    <w:rsid w:val="009712DF"/>
    <w:rsid w:val="00972416"/>
    <w:rsid w:val="00972477"/>
    <w:rsid w:val="00972B6F"/>
    <w:rsid w:val="00972C9C"/>
    <w:rsid w:val="00973A05"/>
    <w:rsid w:val="0097417C"/>
    <w:rsid w:val="00974F22"/>
    <w:rsid w:val="009755F2"/>
    <w:rsid w:val="00975B28"/>
    <w:rsid w:val="0097761E"/>
    <w:rsid w:val="0097780B"/>
    <w:rsid w:val="00977B88"/>
    <w:rsid w:val="0098010A"/>
    <w:rsid w:val="00980216"/>
    <w:rsid w:val="00981201"/>
    <w:rsid w:val="00982455"/>
    <w:rsid w:val="0098355B"/>
    <w:rsid w:val="00983EB9"/>
    <w:rsid w:val="009842A9"/>
    <w:rsid w:val="0098505C"/>
    <w:rsid w:val="009857A2"/>
    <w:rsid w:val="009858D1"/>
    <w:rsid w:val="00986215"/>
    <w:rsid w:val="00990376"/>
    <w:rsid w:val="00990FC5"/>
    <w:rsid w:val="00991784"/>
    <w:rsid w:val="00992808"/>
    <w:rsid w:val="00992A8B"/>
    <w:rsid w:val="00992D74"/>
    <w:rsid w:val="009963D7"/>
    <w:rsid w:val="00997600"/>
    <w:rsid w:val="00997EB8"/>
    <w:rsid w:val="009A047B"/>
    <w:rsid w:val="009A06A1"/>
    <w:rsid w:val="009A1160"/>
    <w:rsid w:val="009A128B"/>
    <w:rsid w:val="009A1F39"/>
    <w:rsid w:val="009A32B8"/>
    <w:rsid w:val="009A38FE"/>
    <w:rsid w:val="009A3DA2"/>
    <w:rsid w:val="009A4AB1"/>
    <w:rsid w:val="009A5185"/>
    <w:rsid w:val="009A5FAE"/>
    <w:rsid w:val="009A623D"/>
    <w:rsid w:val="009A6FD4"/>
    <w:rsid w:val="009B0221"/>
    <w:rsid w:val="009B03CB"/>
    <w:rsid w:val="009B0935"/>
    <w:rsid w:val="009B0EA9"/>
    <w:rsid w:val="009B2744"/>
    <w:rsid w:val="009B340C"/>
    <w:rsid w:val="009B3A0D"/>
    <w:rsid w:val="009B3C9F"/>
    <w:rsid w:val="009B449A"/>
    <w:rsid w:val="009B5DF3"/>
    <w:rsid w:val="009B6068"/>
    <w:rsid w:val="009B6365"/>
    <w:rsid w:val="009B6D3B"/>
    <w:rsid w:val="009B6E56"/>
    <w:rsid w:val="009B6F7A"/>
    <w:rsid w:val="009B7F06"/>
    <w:rsid w:val="009C02D9"/>
    <w:rsid w:val="009C0729"/>
    <w:rsid w:val="009C0E6F"/>
    <w:rsid w:val="009C1276"/>
    <w:rsid w:val="009C15AB"/>
    <w:rsid w:val="009C1DDD"/>
    <w:rsid w:val="009C225C"/>
    <w:rsid w:val="009C2A59"/>
    <w:rsid w:val="009C41C4"/>
    <w:rsid w:val="009C4A93"/>
    <w:rsid w:val="009C565E"/>
    <w:rsid w:val="009C73D3"/>
    <w:rsid w:val="009C751B"/>
    <w:rsid w:val="009C754E"/>
    <w:rsid w:val="009D10C1"/>
    <w:rsid w:val="009D178D"/>
    <w:rsid w:val="009D23D5"/>
    <w:rsid w:val="009D466B"/>
    <w:rsid w:val="009D7D8D"/>
    <w:rsid w:val="009E3CCA"/>
    <w:rsid w:val="009E7E6B"/>
    <w:rsid w:val="009F05FF"/>
    <w:rsid w:val="009F21B5"/>
    <w:rsid w:val="009F33FE"/>
    <w:rsid w:val="009F348D"/>
    <w:rsid w:val="009F3E17"/>
    <w:rsid w:val="009F46D8"/>
    <w:rsid w:val="009F477C"/>
    <w:rsid w:val="009F4911"/>
    <w:rsid w:val="009F54DB"/>
    <w:rsid w:val="009F5A25"/>
    <w:rsid w:val="009F6391"/>
    <w:rsid w:val="009F6506"/>
    <w:rsid w:val="009F659F"/>
    <w:rsid w:val="009F67E4"/>
    <w:rsid w:val="009F7B75"/>
    <w:rsid w:val="00A000D4"/>
    <w:rsid w:val="00A00B3E"/>
    <w:rsid w:val="00A00BA7"/>
    <w:rsid w:val="00A00C24"/>
    <w:rsid w:val="00A010EF"/>
    <w:rsid w:val="00A0262A"/>
    <w:rsid w:val="00A02863"/>
    <w:rsid w:val="00A02A14"/>
    <w:rsid w:val="00A03B02"/>
    <w:rsid w:val="00A03CD3"/>
    <w:rsid w:val="00A05E38"/>
    <w:rsid w:val="00A060BD"/>
    <w:rsid w:val="00A06138"/>
    <w:rsid w:val="00A06215"/>
    <w:rsid w:val="00A066B9"/>
    <w:rsid w:val="00A0733F"/>
    <w:rsid w:val="00A0770C"/>
    <w:rsid w:val="00A0787B"/>
    <w:rsid w:val="00A07E47"/>
    <w:rsid w:val="00A10320"/>
    <w:rsid w:val="00A10A35"/>
    <w:rsid w:val="00A14C79"/>
    <w:rsid w:val="00A1506F"/>
    <w:rsid w:val="00A15783"/>
    <w:rsid w:val="00A15AC5"/>
    <w:rsid w:val="00A1631F"/>
    <w:rsid w:val="00A163B9"/>
    <w:rsid w:val="00A17C0F"/>
    <w:rsid w:val="00A204DB"/>
    <w:rsid w:val="00A214B0"/>
    <w:rsid w:val="00A22113"/>
    <w:rsid w:val="00A225D7"/>
    <w:rsid w:val="00A22F5A"/>
    <w:rsid w:val="00A247D5"/>
    <w:rsid w:val="00A26C26"/>
    <w:rsid w:val="00A26CE0"/>
    <w:rsid w:val="00A27220"/>
    <w:rsid w:val="00A3092A"/>
    <w:rsid w:val="00A30C1C"/>
    <w:rsid w:val="00A30DD5"/>
    <w:rsid w:val="00A319BB"/>
    <w:rsid w:val="00A32806"/>
    <w:rsid w:val="00A33254"/>
    <w:rsid w:val="00A333C5"/>
    <w:rsid w:val="00A350A2"/>
    <w:rsid w:val="00A3539A"/>
    <w:rsid w:val="00A3610C"/>
    <w:rsid w:val="00A37749"/>
    <w:rsid w:val="00A43864"/>
    <w:rsid w:val="00A44740"/>
    <w:rsid w:val="00A456D3"/>
    <w:rsid w:val="00A46024"/>
    <w:rsid w:val="00A47662"/>
    <w:rsid w:val="00A50031"/>
    <w:rsid w:val="00A504AC"/>
    <w:rsid w:val="00A50C6D"/>
    <w:rsid w:val="00A51236"/>
    <w:rsid w:val="00A51945"/>
    <w:rsid w:val="00A51B15"/>
    <w:rsid w:val="00A524A1"/>
    <w:rsid w:val="00A527B8"/>
    <w:rsid w:val="00A534CF"/>
    <w:rsid w:val="00A53D9D"/>
    <w:rsid w:val="00A54401"/>
    <w:rsid w:val="00A5454B"/>
    <w:rsid w:val="00A5537D"/>
    <w:rsid w:val="00A55FB0"/>
    <w:rsid w:val="00A56467"/>
    <w:rsid w:val="00A56D60"/>
    <w:rsid w:val="00A60B1F"/>
    <w:rsid w:val="00A615D9"/>
    <w:rsid w:val="00A61C78"/>
    <w:rsid w:val="00A62FDF"/>
    <w:rsid w:val="00A63462"/>
    <w:rsid w:val="00A634F3"/>
    <w:rsid w:val="00A66CB7"/>
    <w:rsid w:val="00A67291"/>
    <w:rsid w:val="00A67460"/>
    <w:rsid w:val="00A704FC"/>
    <w:rsid w:val="00A71266"/>
    <w:rsid w:val="00A72B59"/>
    <w:rsid w:val="00A73989"/>
    <w:rsid w:val="00A74F9D"/>
    <w:rsid w:val="00A753CE"/>
    <w:rsid w:val="00A758AF"/>
    <w:rsid w:val="00A76347"/>
    <w:rsid w:val="00A768C9"/>
    <w:rsid w:val="00A776F9"/>
    <w:rsid w:val="00A77909"/>
    <w:rsid w:val="00A7794C"/>
    <w:rsid w:val="00A7796C"/>
    <w:rsid w:val="00A80391"/>
    <w:rsid w:val="00A80CE3"/>
    <w:rsid w:val="00A811BB"/>
    <w:rsid w:val="00A81A6C"/>
    <w:rsid w:val="00A822F9"/>
    <w:rsid w:val="00A82F2C"/>
    <w:rsid w:val="00A83229"/>
    <w:rsid w:val="00A83239"/>
    <w:rsid w:val="00A8409B"/>
    <w:rsid w:val="00A844BE"/>
    <w:rsid w:val="00A84547"/>
    <w:rsid w:val="00A84B75"/>
    <w:rsid w:val="00A85E70"/>
    <w:rsid w:val="00A86078"/>
    <w:rsid w:val="00A87714"/>
    <w:rsid w:val="00A90646"/>
    <w:rsid w:val="00A9161C"/>
    <w:rsid w:val="00A929B5"/>
    <w:rsid w:val="00A93F44"/>
    <w:rsid w:val="00A9426E"/>
    <w:rsid w:val="00A94805"/>
    <w:rsid w:val="00A95006"/>
    <w:rsid w:val="00A95105"/>
    <w:rsid w:val="00A95D07"/>
    <w:rsid w:val="00A95D76"/>
    <w:rsid w:val="00A95ED7"/>
    <w:rsid w:val="00A96D1B"/>
    <w:rsid w:val="00A96FE0"/>
    <w:rsid w:val="00A97A7F"/>
    <w:rsid w:val="00AA042E"/>
    <w:rsid w:val="00AA0580"/>
    <w:rsid w:val="00AA18C0"/>
    <w:rsid w:val="00AA1C73"/>
    <w:rsid w:val="00AA25F1"/>
    <w:rsid w:val="00AA282A"/>
    <w:rsid w:val="00AA2E81"/>
    <w:rsid w:val="00AA4430"/>
    <w:rsid w:val="00AA4643"/>
    <w:rsid w:val="00AA501E"/>
    <w:rsid w:val="00AA646E"/>
    <w:rsid w:val="00AA6769"/>
    <w:rsid w:val="00AA6EBA"/>
    <w:rsid w:val="00AA6F6B"/>
    <w:rsid w:val="00AA7775"/>
    <w:rsid w:val="00AA7E21"/>
    <w:rsid w:val="00AA7F24"/>
    <w:rsid w:val="00AB0AB7"/>
    <w:rsid w:val="00AB0E4E"/>
    <w:rsid w:val="00AB1600"/>
    <w:rsid w:val="00AB1C45"/>
    <w:rsid w:val="00AB25CA"/>
    <w:rsid w:val="00AB30CA"/>
    <w:rsid w:val="00AB4048"/>
    <w:rsid w:val="00AB4094"/>
    <w:rsid w:val="00AB45CD"/>
    <w:rsid w:val="00AB4988"/>
    <w:rsid w:val="00AB5C2E"/>
    <w:rsid w:val="00AC0806"/>
    <w:rsid w:val="00AC0A2F"/>
    <w:rsid w:val="00AC0D28"/>
    <w:rsid w:val="00AC1256"/>
    <w:rsid w:val="00AC21F1"/>
    <w:rsid w:val="00AC3521"/>
    <w:rsid w:val="00AC3CE4"/>
    <w:rsid w:val="00AC4774"/>
    <w:rsid w:val="00AC49EC"/>
    <w:rsid w:val="00AC4E47"/>
    <w:rsid w:val="00AC5DBD"/>
    <w:rsid w:val="00AC7439"/>
    <w:rsid w:val="00AC7DA1"/>
    <w:rsid w:val="00AD0CD9"/>
    <w:rsid w:val="00AD15CD"/>
    <w:rsid w:val="00AD2841"/>
    <w:rsid w:val="00AD2C77"/>
    <w:rsid w:val="00AD3196"/>
    <w:rsid w:val="00AD55A1"/>
    <w:rsid w:val="00AD6AB2"/>
    <w:rsid w:val="00AE07DC"/>
    <w:rsid w:val="00AE08CC"/>
    <w:rsid w:val="00AE20E8"/>
    <w:rsid w:val="00AE25D6"/>
    <w:rsid w:val="00AE374C"/>
    <w:rsid w:val="00AE37A6"/>
    <w:rsid w:val="00AE48D0"/>
    <w:rsid w:val="00AE4BA5"/>
    <w:rsid w:val="00AE57CA"/>
    <w:rsid w:val="00AE6D50"/>
    <w:rsid w:val="00AE7DBB"/>
    <w:rsid w:val="00AF012B"/>
    <w:rsid w:val="00AF0F18"/>
    <w:rsid w:val="00AF0F3A"/>
    <w:rsid w:val="00AF1385"/>
    <w:rsid w:val="00AF1830"/>
    <w:rsid w:val="00AF63C8"/>
    <w:rsid w:val="00AF6758"/>
    <w:rsid w:val="00AF79C3"/>
    <w:rsid w:val="00AF7B57"/>
    <w:rsid w:val="00B00B9A"/>
    <w:rsid w:val="00B00C0C"/>
    <w:rsid w:val="00B01189"/>
    <w:rsid w:val="00B03432"/>
    <w:rsid w:val="00B05A65"/>
    <w:rsid w:val="00B067AD"/>
    <w:rsid w:val="00B07FDA"/>
    <w:rsid w:val="00B10375"/>
    <w:rsid w:val="00B12251"/>
    <w:rsid w:val="00B12715"/>
    <w:rsid w:val="00B12741"/>
    <w:rsid w:val="00B1494F"/>
    <w:rsid w:val="00B14988"/>
    <w:rsid w:val="00B14C68"/>
    <w:rsid w:val="00B14CF6"/>
    <w:rsid w:val="00B14FC0"/>
    <w:rsid w:val="00B1602E"/>
    <w:rsid w:val="00B165D9"/>
    <w:rsid w:val="00B17E40"/>
    <w:rsid w:val="00B20220"/>
    <w:rsid w:val="00B20A29"/>
    <w:rsid w:val="00B21288"/>
    <w:rsid w:val="00B21BB1"/>
    <w:rsid w:val="00B21BF7"/>
    <w:rsid w:val="00B21C8F"/>
    <w:rsid w:val="00B22F0E"/>
    <w:rsid w:val="00B22F54"/>
    <w:rsid w:val="00B234E9"/>
    <w:rsid w:val="00B23662"/>
    <w:rsid w:val="00B244CD"/>
    <w:rsid w:val="00B2483E"/>
    <w:rsid w:val="00B258CC"/>
    <w:rsid w:val="00B25FC9"/>
    <w:rsid w:val="00B26145"/>
    <w:rsid w:val="00B26248"/>
    <w:rsid w:val="00B26372"/>
    <w:rsid w:val="00B269EB"/>
    <w:rsid w:val="00B26A87"/>
    <w:rsid w:val="00B30037"/>
    <w:rsid w:val="00B30E37"/>
    <w:rsid w:val="00B31DE6"/>
    <w:rsid w:val="00B323EB"/>
    <w:rsid w:val="00B33483"/>
    <w:rsid w:val="00B335D7"/>
    <w:rsid w:val="00B353B2"/>
    <w:rsid w:val="00B41716"/>
    <w:rsid w:val="00B41B3F"/>
    <w:rsid w:val="00B41EE7"/>
    <w:rsid w:val="00B4263D"/>
    <w:rsid w:val="00B4276F"/>
    <w:rsid w:val="00B4342C"/>
    <w:rsid w:val="00B442B3"/>
    <w:rsid w:val="00B44F53"/>
    <w:rsid w:val="00B453BF"/>
    <w:rsid w:val="00B457F3"/>
    <w:rsid w:val="00B47973"/>
    <w:rsid w:val="00B50957"/>
    <w:rsid w:val="00B51194"/>
    <w:rsid w:val="00B519B9"/>
    <w:rsid w:val="00B51BB3"/>
    <w:rsid w:val="00B54AAB"/>
    <w:rsid w:val="00B55313"/>
    <w:rsid w:val="00B569B1"/>
    <w:rsid w:val="00B574D7"/>
    <w:rsid w:val="00B5763C"/>
    <w:rsid w:val="00B57695"/>
    <w:rsid w:val="00B57819"/>
    <w:rsid w:val="00B578CE"/>
    <w:rsid w:val="00B57B91"/>
    <w:rsid w:val="00B6106E"/>
    <w:rsid w:val="00B610FD"/>
    <w:rsid w:val="00B614EC"/>
    <w:rsid w:val="00B61F24"/>
    <w:rsid w:val="00B62C4F"/>
    <w:rsid w:val="00B631B2"/>
    <w:rsid w:val="00B63EE5"/>
    <w:rsid w:val="00B641FF"/>
    <w:rsid w:val="00B64A18"/>
    <w:rsid w:val="00B653A9"/>
    <w:rsid w:val="00B65EF1"/>
    <w:rsid w:val="00B66B9D"/>
    <w:rsid w:val="00B66E65"/>
    <w:rsid w:val="00B66E8C"/>
    <w:rsid w:val="00B671D6"/>
    <w:rsid w:val="00B67A85"/>
    <w:rsid w:val="00B67EF5"/>
    <w:rsid w:val="00B708C7"/>
    <w:rsid w:val="00B70CB7"/>
    <w:rsid w:val="00B71B5F"/>
    <w:rsid w:val="00B73211"/>
    <w:rsid w:val="00B73BDB"/>
    <w:rsid w:val="00B74C49"/>
    <w:rsid w:val="00B74E45"/>
    <w:rsid w:val="00B76587"/>
    <w:rsid w:val="00B77345"/>
    <w:rsid w:val="00B803C0"/>
    <w:rsid w:val="00B82C4C"/>
    <w:rsid w:val="00B82E95"/>
    <w:rsid w:val="00B83428"/>
    <w:rsid w:val="00B837F8"/>
    <w:rsid w:val="00B84FEF"/>
    <w:rsid w:val="00B859D6"/>
    <w:rsid w:val="00B867A2"/>
    <w:rsid w:val="00B8720E"/>
    <w:rsid w:val="00B90197"/>
    <w:rsid w:val="00B903E5"/>
    <w:rsid w:val="00B909B1"/>
    <w:rsid w:val="00B90DF6"/>
    <w:rsid w:val="00B93828"/>
    <w:rsid w:val="00B93CD0"/>
    <w:rsid w:val="00B93E19"/>
    <w:rsid w:val="00B94722"/>
    <w:rsid w:val="00B9479F"/>
    <w:rsid w:val="00B94DD3"/>
    <w:rsid w:val="00B9544A"/>
    <w:rsid w:val="00B97EAD"/>
    <w:rsid w:val="00BA0FCF"/>
    <w:rsid w:val="00BA14CD"/>
    <w:rsid w:val="00BA292C"/>
    <w:rsid w:val="00BA2984"/>
    <w:rsid w:val="00BA4580"/>
    <w:rsid w:val="00BA5CE4"/>
    <w:rsid w:val="00BA5F4A"/>
    <w:rsid w:val="00BA6677"/>
    <w:rsid w:val="00BA6BF8"/>
    <w:rsid w:val="00BA6FC6"/>
    <w:rsid w:val="00BA7319"/>
    <w:rsid w:val="00BA7402"/>
    <w:rsid w:val="00BB1DB1"/>
    <w:rsid w:val="00BB3E28"/>
    <w:rsid w:val="00BB4420"/>
    <w:rsid w:val="00BB50CA"/>
    <w:rsid w:val="00BB5FE6"/>
    <w:rsid w:val="00BB6435"/>
    <w:rsid w:val="00BB772D"/>
    <w:rsid w:val="00BC0235"/>
    <w:rsid w:val="00BC0332"/>
    <w:rsid w:val="00BC1878"/>
    <w:rsid w:val="00BC1881"/>
    <w:rsid w:val="00BC1CF6"/>
    <w:rsid w:val="00BC30B0"/>
    <w:rsid w:val="00BC3660"/>
    <w:rsid w:val="00BC3E5D"/>
    <w:rsid w:val="00BC3EEB"/>
    <w:rsid w:val="00BC5300"/>
    <w:rsid w:val="00BC6E29"/>
    <w:rsid w:val="00BC7064"/>
    <w:rsid w:val="00BC73EB"/>
    <w:rsid w:val="00BC770E"/>
    <w:rsid w:val="00BC7E34"/>
    <w:rsid w:val="00BD019A"/>
    <w:rsid w:val="00BD1124"/>
    <w:rsid w:val="00BD239C"/>
    <w:rsid w:val="00BD2D66"/>
    <w:rsid w:val="00BD403C"/>
    <w:rsid w:val="00BD5A87"/>
    <w:rsid w:val="00BD60C9"/>
    <w:rsid w:val="00BD63C6"/>
    <w:rsid w:val="00BD65A3"/>
    <w:rsid w:val="00BD68A3"/>
    <w:rsid w:val="00BD6B6D"/>
    <w:rsid w:val="00BD6BE6"/>
    <w:rsid w:val="00BD72E0"/>
    <w:rsid w:val="00BD7B6A"/>
    <w:rsid w:val="00BE0982"/>
    <w:rsid w:val="00BE373D"/>
    <w:rsid w:val="00BE4207"/>
    <w:rsid w:val="00BE68C1"/>
    <w:rsid w:val="00BE6BB8"/>
    <w:rsid w:val="00BF0290"/>
    <w:rsid w:val="00BF1405"/>
    <w:rsid w:val="00BF2234"/>
    <w:rsid w:val="00BF2338"/>
    <w:rsid w:val="00BF2457"/>
    <w:rsid w:val="00BF5070"/>
    <w:rsid w:val="00BF72A3"/>
    <w:rsid w:val="00C00A04"/>
    <w:rsid w:val="00C01613"/>
    <w:rsid w:val="00C01B45"/>
    <w:rsid w:val="00C02AF8"/>
    <w:rsid w:val="00C04E9F"/>
    <w:rsid w:val="00C05048"/>
    <w:rsid w:val="00C06578"/>
    <w:rsid w:val="00C07623"/>
    <w:rsid w:val="00C07E82"/>
    <w:rsid w:val="00C10268"/>
    <w:rsid w:val="00C10608"/>
    <w:rsid w:val="00C10EFE"/>
    <w:rsid w:val="00C12372"/>
    <w:rsid w:val="00C1332F"/>
    <w:rsid w:val="00C13524"/>
    <w:rsid w:val="00C15746"/>
    <w:rsid w:val="00C1593D"/>
    <w:rsid w:val="00C16B1D"/>
    <w:rsid w:val="00C16F3C"/>
    <w:rsid w:val="00C20442"/>
    <w:rsid w:val="00C21C11"/>
    <w:rsid w:val="00C223C9"/>
    <w:rsid w:val="00C22413"/>
    <w:rsid w:val="00C22BB4"/>
    <w:rsid w:val="00C22BBB"/>
    <w:rsid w:val="00C242F0"/>
    <w:rsid w:val="00C253D0"/>
    <w:rsid w:val="00C256EF"/>
    <w:rsid w:val="00C2618E"/>
    <w:rsid w:val="00C265C7"/>
    <w:rsid w:val="00C27456"/>
    <w:rsid w:val="00C277EE"/>
    <w:rsid w:val="00C30F27"/>
    <w:rsid w:val="00C32CBA"/>
    <w:rsid w:val="00C33A57"/>
    <w:rsid w:val="00C33AB1"/>
    <w:rsid w:val="00C34A1D"/>
    <w:rsid w:val="00C34CE2"/>
    <w:rsid w:val="00C35172"/>
    <w:rsid w:val="00C35F6D"/>
    <w:rsid w:val="00C3611C"/>
    <w:rsid w:val="00C361F8"/>
    <w:rsid w:val="00C36901"/>
    <w:rsid w:val="00C36E83"/>
    <w:rsid w:val="00C37544"/>
    <w:rsid w:val="00C40044"/>
    <w:rsid w:val="00C4034C"/>
    <w:rsid w:val="00C40875"/>
    <w:rsid w:val="00C43675"/>
    <w:rsid w:val="00C437A0"/>
    <w:rsid w:val="00C4381D"/>
    <w:rsid w:val="00C43860"/>
    <w:rsid w:val="00C444B3"/>
    <w:rsid w:val="00C448CA"/>
    <w:rsid w:val="00C454BD"/>
    <w:rsid w:val="00C47789"/>
    <w:rsid w:val="00C47AB3"/>
    <w:rsid w:val="00C50D6F"/>
    <w:rsid w:val="00C521E4"/>
    <w:rsid w:val="00C5257D"/>
    <w:rsid w:val="00C52FA2"/>
    <w:rsid w:val="00C534A6"/>
    <w:rsid w:val="00C53D35"/>
    <w:rsid w:val="00C5416A"/>
    <w:rsid w:val="00C5475E"/>
    <w:rsid w:val="00C56034"/>
    <w:rsid w:val="00C57D65"/>
    <w:rsid w:val="00C60545"/>
    <w:rsid w:val="00C61087"/>
    <w:rsid w:val="00C61288"/>
    <w:rsid w:val="00C615E4"/>
    <w:rsid w:val="00C616E4"/>
    <w:rsid w:val="00C61DE7"/>
    <w:rsid w:val="00C61FC3"/>
    <w:rsid w:val="00C62BDF"/>
    <w:rsid w:val="00C63233"/>
    <w:rsid w:val="00C634B1"/>
    <w:rsid w:val="00C636C3"/>
    <w:rsid w:val="00C6559A"/>
    <w:rsid w:val="00C6598F"/>
    <w:rsid w:val="00C66689"/>
    <w:rsid w:val="00C66EAF"/>
    <w:rsid w:val="00C670E3"/>
    <w:rsid w:val="00C7017E"/>
    <w:rsid w:val="00C703C2"/>
    <w:rsid w:val="00C72044"/>
    <w:rsid w:val="00C724D4"/>
    <w:rsid w:val="00C74E6C"/>
    <w:rsid w:val="00C8038B"/>
    <w:rsid w:val="00C82E98"/>
    <w:rsid w:val="00C831D1"/>
    <w:rsid w:val="00C83EAB"/>
    <w:rsid w:val="00C8448C"/>
    <w:rsid w:val="00C84655"/>
    <w:rsid w:val="00C84A22"/>
    <w:rsid w:val="00C85631"/>
    <w:rsid w:val="00C85F59"/>
    <w:rsid w:val="00C8696E"/>
    <w:rsid w:val="00C86B67"/>
    <w:rsid w:val="00C8740C"/>
    <w:rsid w:val="00C87F3F"/>
    <w:rsid w:val="00C908D0"/>
    <w:rsid w:val="00C91925"/>
    <w:rsid w:val="00C91BCD"/>
    <w:rsid w:val="00C92904"/>
    <w:rsid w:val="00C93E15"/>
    <w:rsid w:val="00C946BC"/>
    <w:rsid w:val="00C94751"/>
    <w:rsid w:val="00C94D6E"/>
    <w:rsid w:val="00C95241"/>
    <w:rsid w:val="00C96746"/>
    <w:rsid w:val="00C96772"/>
    <w:rsid w:val="00C96E15"/>
    <w:rsid w:val="00C976A3"/>
    <w:rsid w:val="00CA03B7"/>
    <w:rsid w:val="00CA1161"/>
    <w:rsid w:val="00CA2B41"/>
    <w:rsid w:val="00CA3641"/>
    <w:rsid w:val="00CA3E3E"/>
    <w:rsid w:val="00CA3EF2"/>
    <w:rsid w:val="00CA4C8B"/>
    <w:rsid w:val="00CA508C"/>
    <w:rsid w:val="00CA53E4"/>
    <w:rsid w:val="00CA59E4"/>
    <w:rsid w:val="00CA6F0A"/>
    <w:rsid w:val="00CB03CC"/>
    <w:rsid w:val="00CB0BEA"/>
    <w:rsid w:val="00CB26F2"/>
    <w:rsid w:val="00CB2750"/>
    <w:rsid w:val="00CB4F9C"/>
    <w:rsid w:val="00CB63D3"/>
    <w:rsid w:val="00CB6D2A"/>
    <w:rsid w:val="00CB71B3"/>
    <w:rsid w:val="00CC21F4"/>
    <w:rsid w:val="00CC2C3B"/>
    <w:rsid w:val="00CC4FAE"/>
    <w:rsid w:val="00CC5B51"/>
    <w:rsid w:val="00CC6048"/>
    <w:rsid w:val="00CC6196"/>
    <w:rsid w:val="00CC6399"/>
    <w:rsid w:val="00CC663B"/>
    <w:rsid w:val="00CC7BB8"/>
    <w:rsid w:val="00CD10CD"/>
    <w:rsid w:val="00CD188F"/>
    <w:rsid w:val="00CD2254"/>
    <w:rsid w:val="00CD2C97"/>
    <w:rsid w:val="00CD34CD"/>
    <w:rsid w:val="00CD45CB"/>
    <w:rsid w:val="00CD56A3"/>
    <w:rsid w:val="00CD5933"/>
    <w:rsid w:val="00CD60AF"/>
    <w:rsid w:val="00CE00E3"/>
    <w:rsid w:val="00CE03FB"/>
    <w:rsid w:val="00CE0BCC"/>
    <w:rsid w:val="00CE19EF"/>
    <w:rsid w:val="00CE1F2C"/>
    <w:rsid w:val="00CE28F3"/>
    <w:rsid w:val="00CE3AE1"/>
    <w:rsid w:val="00CE4125"/>
    <w:rsid w:val="00CE5155"/>
    <w:rsid w:val="00CE5C5C"/>
    <w:rsid w:val="00CE6B89"/>
    <w:rsid w:val="00CE787C"/>
    <w:rsid w:val="00CF026A"/>
    <w:rsid w:val="00CF033D"/>
    <w:rsid w:val="00CF066C"/>
    <w:rsid w:val="00CF1167"/>
    <w:rsid w:val="00CF218F"/>
    <w:rsid w:val="00CF28A2"/>
    <w:rsid w:val="00CF3B73"/>
    <w:rsid w:val="00CF47A2"/>
    <w:rsid w:val="00CF4C96"/>
    <w:rsid w:val="00CF575B"/>
    <w:rsid w:val="00CF64B4"/>
    <w:rsid w:val="00CF64F7"/>
    <w:rsid w:val="00CF6E56"/>
    <w:rsid w:val="00D001B0"/>
    <w:rsid w:val="00D006EF"/>
    <w:rsid w:val="00D01344"/>
    <w:rsid w:val="00D01D41"/>
    <w:rsid w:val="00D02E80"/>
    <w:rsid w:val="00D0447D"/>
    <w:rsid w:val="00D04C1B"/>
    <w:rsid w:val="00D04E49"/>
    <w:rsid w:val="00D05AED"/>
    <w:rsid w:val="00D06666"/>
    <w:rsid w:val="00D06EF4"/>
    <w:rsid w:val="00D0760F"/>
    <w:rsid w:val="00D10EFB"/>
    <w:rsid w:val="00D11694"/>
    <w:rsid w:val="00D12A6C"/>
    <w:rsid w:val="00D1475A"/>
    <w:rsid w:val="00D14BEB"/>
    <w:rsid w:val="00D15599"/>
    <w:rsid w:val="00D15D38"/>
    <w:rsid w:val="00D177BC"/>
    <w:rsid w:val="00D17C0E"/>
    <w:rsid w:val="00D20295"/>
    <w:rsid w:val="00D22D38"/>
    <w:rsid w:val="00D24D54"/>
    <w:rsid w:val="00D2545D"/>
    <w:rsid w:val="00D25AD7"/>
    <w:rsid w:val="00D302FC"/>
    <w:rsid w:val="00D3090D"/>
    <w:rsid w:val="00D32396"/>
    <w:rsid w:val="00D3296E"/>
    <w:rsid w:val="00D3337F"/>
    <w:rsid w:val="00D34DEB"/>
    <w:rsid w:val="00D34F04"/>
    <w:rsid w:val="00D364B5"/>
    <w:rsid w:val="00D37B1A"/>
    <w:rsid w:val="00D37F24"/>
    <w:rsid w:val="00D4014C"/>
    <w:rsid w:val="00D4026C"/>
    <w:rsid w:val="00D40428"/>
    <w:rsid w:val="00D40CF1"/>
    <w:rsid w:val="00D4205A"/>
    <w:rsid w:val="00D428AB"/>
    <w:rsid w:val="00D438AF"/>
    <w:rsid w:val="00D43A8C"/>
    <w:rsid w:val="00D45DF0"/>
    <w:rsid w:val="00D46119"/>
    <w:rsid w:val="00D50ED0"/>
    <w:rsid w:val="00D51360"/>
    <w:rsid w:val="00D51A8D"/>
    <w:rsid w:val="00D51DF6"/>
    <w:rsid w:val="00D521CE"/>
    <w:rsid w:val="00D52288"/>
    <w:rsid w:val="00D5448B"/>
    <w:rsid w:val="00D5623D"/>
    <w:rsid w:val="00D563C9"/>
    <w:rsid w:val="00D5739B"/>
    <w:rsid w:val="00D57F2A"/>
    <w:rsid w:val="00D60138"/>
    <w:rsid w:val="00D604D9"/>
    <w:rsid w:val="00D615C4"/>
    <w:rsid w:val="00D61D79"/>
    <w:rsid w:val="00D62067"/>
    <w:rsid w:val="00D6271E"/>
    <w:rsid w:val="00D6334B"/>
    <w:rsid w:val="00D63A3B"/>
    <w:rsid w:val="00D6447D"/>
    <w:rsid w:val="00D673CD"/>
    <w:rsid w:val="00D679FB"/>
    <w:rsid w:val="00D704C8"/>
    <w:rsid w:val="00D72CB7"/>
    <w:rsid w:val="00D73862"/>
    <w:rsid w:val="00D73A45"/>
    <w:rsid w:val="00D73E4B"/>
    <w:rsid w:val="00D7425F"/>
    <w:rsid w:val="00D74ED7"/>
    <w:rsid w:val="00D75FB9"/>
    <w:rsid w:val="00D76DAE"/>
    <w:rsid w:val="00D77185"/>
    <w:rsid w:val="00D775C4"/>
    <w:rsid w:val="00D81218"/>
    <w:rsid w:val="00D81A21"/>
    <w:rsid w:val="00D81FB3"/>
    <w:rsid w:val="00D82161"/>
    <w:rsid w:val="00D82878"/>
    <w:rsid w:val="00D82F7F"/>
    <w:rsid w:val="00D83534"/>
    <w:rsid w:val="00D8379E"/>
    <w:rsid w:val="00D84771"/>
    <w:rsid w:val="00D850C9"/>
    <w:rsid w:val="00D85F35"/>
    <w:rsid w:val="00D860DE"/>
    <w:rsid w:val="00D87993"/>
    <w:rsid w:val="00D92A4C"/>
    <w:rsid w:val="00D936D3"/>
    <w:rsid w:val="00D9407B"/>
    <w:rsid w:val="00D9418B"/>
    <w:rsid w:val="00D954AD"/>
    <w:rsid w:val="00D955A9"/>
    <w:rsid w:val="00D95826"/>
    <w:rsid w:val="00D97190"/>
    <w:rsid w:val="00D973B6"/>
    <w:rsid w:val="00D97B7C"/>
    <w:rsid w:val="00D97F40"/>
    <w:rsid w:val="00DA0352"/>
    <w:rsid w:val="00DA23D0"/>
    <w:rsid w:val="00DA468D"/>
    <w:rsid w:val="00DA495D"/>
    <w:rsid w:val="00DA5132"/>
    <w:rsid w:val="00DA5983"/>
    <w:rsid w:val="00DA5C02"/>
    <w:rsid w:val="00DA61F2"/>
    <w:rsid w:val="00DA7194"/>
    <w:rsid w:val="00DA72D5"/>
    <w:rsid w:val="00DB0AE2"/>
    <w:rsid w:val="00DB0E4C"/>
    <w:rsid w:val="00DB1104"/>
    <w:rsid w:val="00DB2045"/>
    <w:rsid w:val="00DB2781"/>
    <w:rsid w:val="00DB3AF7"/>
    <w:rsid w:val="00DB3C0B"/>
    <w:rsid w:val="00DB40FA"/>
    <w:rsid w:val="00DB5C58"/>
    <w:rsid w:val="00DB5E56"/>
    <w:rsid w:val="00DB7D22"/>
    <w:rsid w:val="00DC06BB"/>
    <w:rsid w:val="00DC0BAC"/>
    <w:rsid w:val="00DC1741"/>
    <w:rsid w:val="00DC1A23"/>
    <w:rsid w:val="00DC1E35"/>
    <w:rsid w:val="00DC3310"/>
    <w:rsid w:val="00DC3C99"/>
    <w:rsid w:val="00DC4D5C"/>
    <w:rsid w:val="00DC5B82"/>
    <w:rsid w:val="00DC5F03"/>
    <w:rsid w:val="00DD09E2"/>
    <w:rsid w:val="00DD1014"/>
    <w:rsid w:val="00DD1DAC"/>
    <w:rsid w:val="00DD2915"/>
    <w:rsid w:val="00DD39CE"/>
    <w:rsid w:val="00DD4346"/>
    <w:rsid w:val="00DD574A"/>
    <w:rsid w:val="00DD59D1"/>
    <w:rsid w:val="00DD7049"/>
    <w:rsid w:val="00DD755E"/>
    <w:rsid w:val="00DD780B"/>
    <w:rsid w:val="00DD7872"/>
    <w:rsid w:val="00DE1838"/>
    <w:rsid w:val="00DE3B32"/>
    <w:rsid w:val="00DE3EC2"/>
    <w:rsid w:val="00DE5C1C"/>
    <w:rsid w:val="00DE5C4B"/>
    <w:rsid w:val="00DE6913"/>
    <w:rsid w:val="00DE7A75"/>
    <w:rsid w:val="00DF1D3C"/>
    <w:rsid w:val="00DF298D"/>
    <w:rsid w:val="00DF2EA4"/>
    <w:rsid w:val="00DF3045"/>
    <w:rsid w:val="00DF3AF7"/>
    <w:rsid w:val="00DF3AFF"/>
    <w:rsid w:val="00DF3CAA"/>
    <w:rsid w:val="00DF4C92"/>
    <w:rsid w:val="00DF54D3"/>
    <w:rsid w:val="00DF6329"/>
    <w:rsid w:val="00DF69E8"/>
    <w:rsid w:val="00DF77E2"/>
    <w:rsid w:val="00E0019F"/>
    <w:rsid w:val="00E0152D"/>
    <w:rsid w:val="00E01B44"/>
    <w:rsid w:val="00E01DD1"/>
    <w:rsid w:val="00E02639"/>
    <w:rsid w:val="00E03018"/>
    <w:rsid w:val="00E032F2"/>
    <w:rsid w:val="00E03576"/>
    <w:rsid w:val="00E0368C"/>
    <w:rsid w:val="00E03B76"/>
    <w:rsid w:val="00E03C11"/>
    <w:rsid w:val="00E03C2E"/>
    <w:rsid w:val="00E0424C"/>
    <w:rsid w:val="00E042DC"/>
    <w:rsid w:val="00E043FA"/>
    <w:rsid w:val="00E05D41"/>
    <w:rsid w:val="00E07288"/>
    <w:rsid w:val="00E1041F"/>
    <w:rsid w:val="00E10E5F"/>
    <w:rsid w:val="00E14A89"/>
    <w:rsid w:val="00E160CF"/>
    <w:rsid w:val="00E168EE"/>
    <w:rsid w:val="00E204D3"/>
    <w:rsid w:val="00E20C86"/>
    <w:rsid w:val="00E20CC9"/>
    <w:rsid w:val="00E21706"/>
    <w:rsid w:val="00E23E5F"/>
    <w:rsid w:val="00E24773"/>
    <w:rsid w:val="00E24A7B"/>
    <w:rsid w:val="00E24E7E"/>
    <w:rsid w:val="00E27AC2"/>
    <w:rsid w:val="00E27E32"/>
    <w:rsid w:val="00E27F2E"/>
    <w:rsid w:val="00E300F4"/>
    <w:rsid w:val="00E30A61"/>
    <w:rsid w:val="00E3144E"/>
    <w:rsid w:val="00E3443B"/>
    <w:rsid w:val="00E34964"/>
    <w:rsid w:val="00E35A1A"/>
    <w:rsid w:val="00E3635B"/>
    <w:rsid w:val="00E36820"/>
    <w:rsid w:val="00E37898"/>
    <w:rsid w:val="00E404E3"/>
    <w:rsid w:val="00E40A89"/>
    <w:rsid w:val="00E40E19"/>
    <w:rsid w:val="00E40EAA"/>
    <w:rsid w:val="00E40EE7"/>
    <w:rsid w:val="00E40FD2"/>
    <w:rsid w:val="00E411EF"/>
    <w:rsid w:val="00E41434"/>
    <w:rsid w:val="00E439F6"/>
    <w:rsid w:val="00E43FBF"/>
    <w:rsid w:val="00E45F51"/>
    <w:rsid w:val="00E466C9"/>
    <w:rsid w:val="00E46FED"/>
    <w:rsid w:val="00E47266"/>
    <w:rsid w:val="00E50934"/>
    <w:rsid w:val="00E5193A"/>
    <w:rsid w:val="00E5322A"/>
    <w:rsid w:val="00E540E4"/>
    <w:rsid w:val="00E55695"/>
    <w:rsid w:val="00E55A36"/>
    <w:rsid w:val="00E55AD9"/>
    <w:rsid w:val="00E569A0"/>
    <w:rsid w:val="00E56D32"/>
    <w:rsid w:val="00E57D20"/>
    <w:rsid w:val="00E60507"/>
    <w:rsid w:val="00E60EA5"/>
    <w:rsid w:val="00E613AA"/>
    <w:rsid w:val="00E633CE"/>
    <w:rsid w:val="00E646F4"/>
    <w:rsid w:val="00E67BDE"/>
    <w:rsid w:val="00E67D0C"/>
    <w:rsid w:val="00E702EA"/>
    <w:rsid w:val="00E712AA"/>
    <w:rsid w:val="00E71F61"/>
    <w:rsid w:val="00E725A7"/>
    <w:rsid w:val="00E73622"/>
    <w:rsid w:val="00E737E7"/>
    <w:rsid w:val="00E74B3B"/>
    <w:rsid w:val="00E74FE4"/>
    <w:rsid w:val="00E76390"/>
    <w:rsid w:val="00E76F9C"/>
    <w:rsid w:val="00E7708C"/>
    <w:rsid w:val="00E8006B"/>
    <w:rsid w:val="00E80AB1"/>
    <w:rsid w:val="00E810B5"/>
    <w:rsid w:val="00E818D1"/>
    <w:rsid w:val="00E81F32"/>
    <w:rsid w:val="00E825BE"/>
    <w:rsid w:val="00E83572"/>
    <w:rsid w:val="00E84573"/>
    <w:rsid w:val="00E872F8"/>
    <w:rsid w:val="00E876D9"/>
    <w:rsid w:val="00E87905"/>
    <w:rsid w:val="00E90418"/>
    <w:rsid w:val="00E905BA"/>
    <w:rsid w:val="00E90A8B"/>
    <w:rsid w:val="00E90C6E"/>
    <w:rsid w:val="00E92959"/>
    <w:rsid w:val="00E92F4C"/>
    <w:rsid w:val="00E933A5"/>
    <w:rsid w:val="00E93EFA"/>
    <w:rsid w:val="00E94065"/>
    <w:rsid w:val="00E953AC"/>
    <w:rsid w:val="00E9622F"/>
    <w:rsid w:val="00E96DAD"/>
    <w:rsid w:val="00EA019E"/>
    <w:rsid w:val="00EA0BEA"/>
    <w:rsid w:val="00EA0BEF"/>
    <w:rsid w:val="00EA0C26"/>
    <w:rsid w:val="00EA2D7D"/>
    <w:rsid w:val="00EA40D2"/>
    <w:rsid w:val="00EA5A91"/>
    <w:rsid w:val="00EA60CF"/>
    <w:rsid w:val="00EA660A"/>
    <w:rsid w:val="00EA6BBE"/>
    <w:rsid w:val="00EA6D4C"/>
    <w:rsid w:val="00EA7334"/>
    <w:rsid w:val="00EA7826"/>
    <w:rsid w:val="00EA7C79"/>
    <w:rsid w:val="00EB1F3C"/>
    <w:rsid w:val="00EB27F5"/>
    <w:rsid w:val="00EB3DEE"/>
    <w:rsid w:val="00EB43FD"/>
    <w:rsid w:val="00EB4616"/>
    <w:rsid w:val="00EB521F"/>
    <w:rsid w:val="00EB5C2A"/>
    <w:rsid w:val="00EB722C"/>
    <w:rsid w:val="00EB741E"/>
    <w:rsid w:val="00EC2A93"/>
    <w:rsid w:val="00EC3BA5"/>
    <w:rsid w:val="00EC3E7F"/>
    <w:rsid w:val="00EC4619"/>
    <w:rsid w:val="00EC60BF"/>
    <w:rsid w:val="00EC65AC"/>
    <w:rsid w:val="00ED0B86"/>
    <w:rsid w:val="00ED0F5C"/>
    <w:rsid w:val="00ED2447"/>
    <w:rsid w:val="00ED2455"/>
    <w:rsid w:val="00ED2906"/>
    <w:rsid w:val="00ED3CA9"/>
    <w:rsid w:val="00ED4567"/>
    <w:rsid w:val="00ED593E"/>
    <w:rsid w:val="00ED5FB8"/>
    <w:rsid w:val="00ED6695"/>
    <w:rsid w:val="00ED6FA1"/>
    <w:rsid w:val="00EE1204"/>
    <w:rsid w:val="00EE1FE9"/>
    <w:rsid w:val="00EE207B"/>
    <w:rsid w:val="00EE2564"/>
    <w:rsid w:val="00EE32C1"/>
    <w:rsid w:val="00EE3C68"/>
    <w:rsid w:val="00EE4063"/>
    <w:rsid w:val="00EE4851"/>
    <w:rsid w:val="00EE63F0"/>
    <w:rsid w:val="00EE7E2D"/>
    <w:rsid w:val="00EF0DA0"/>
    <w:rsid w:val="00EF1630"/>
    <w:rsid w:val="00EF3BE6"/>
    <w:rsid w:val="00EF4297"/>
    <w:rsid w:val="00EF6862"/>
    <w:rsid w:val="00EF6C57"/>
    <w:rsid w:val="00EF6F27"/>
    <w:rsid w:val="00EF7536"/>
    <w:rsid w:val="00EF7716"/>
    <w:rsid w:val="00EF7979"/>
    <w:rsid w:val="00F00045"/>
    <w:rsid w:val="00F00163"/>
    <w:rsid w:val="00F04363"/>
    <w:rsid w:val="00F04C8D"/>
    <w:rsid w:val="00F05E3A"/>
    <w:rsid w:val="00F068B4"/>
    <w:rsid w:val="00F07AC6"/>
    <w:rsid w:val="00F10001"/>
    <w:rsid w:val="00F10768"/>
    <w:rsid w:val="00F108C5"/>
    <w:rsid w:val="00F11DE3"/>
    <w:rsid w:val="00F1387B"/>
    <w:rsid w:val="00F1523E"/>
    <w:rsid w:val="00F15A3C"/>
    <w:rsid w:val="00F16401"/>
    <w:rsid w:val="00F209F5"/>
    <w:rsid w:val="00F21665"/>
    <w:rsid w:val="00F22379"/>
    <w:rsid w:val="00F22638"/>
    <w:rsid w:val="00F22B0C"/>
    <w:rsid w:val="00F23528"/>
    <w:rsid w:val="00F23AB5"/>
    <w:rsid w:val="00F24792"/>
    <w:rsid w:val="00F255D4"/>
    <w:rsid w:val="00F26AAE"/>
    <w:rsid w:val="00F27272"/>
    <w:rsid w:val="00F31539"/>
    <w:rsid w:val="00F31CB7"/>
    <w:rsid w:val="00F31D3C"/>
    <w:rsid w:val="00F32A5A"/>
    <w:rsid w:val="00F32D66"/>
    <w:rsid w:val="00F32E6B"/>
    <w:rsid w:val="00F33D24"/>
    <w:rsid w:val="00F34C77"/>
    <w:rsid w:val="00F34EF0"/>
    <w:rsid w:val="00F351FD"/>
    <w:rsid w:val="00F35471"/>
    <w:rsid w:val="00F37853"/>
    <w:rsid w:val="00F43415"/>
    <w:rsid w:val="00F43FC0"/>
    <w:rsid w:val="00F4419C"/>
    <w:rsid w:val="00F445A3"/>
    <w:rsid w:val="00F44758"/>
    <w:rsid w:val="00F45008"/>
    <w:rsid w:val="00F47155"/>
    <w:rsid w:val="00F4785E"/>
    <w:rsid w:val="00F50227"/>
    <w:rsid w:val="00F5150C"/>
    <w:rsid w:val="00F5151A"/>
    <w:rsid w:val="00F527E1"/>
    <w:rsid w:val="00F53722"/>
    <w:rsid w:val="00F53B7F"/>
    <w:rsid w:val="00F5478B"/>
    <w:rsid w:val="00F5500B"/>
    <w:rsid w:val="00F55795"/>
    <w:rsid w:val="00F567AC"/>
    <w:rsid w:val="00F60BAD"/>
    <w:rsid w:val="00F60CAD"/>
    <w:rsid w:val="00F60EC3"/>
    <w:rsid w:val="00F61B7E"/>
    <w:rsid w:val="00F61D8C"/>
    <w:rsid w:val="00F62635"/>
    <w:rsid w:val="00F6337D"/>
    <w:rsid w:val="00F636C8"/>
    <w:rsid w:val="00F64B9E"/>
    <w:rsid w:val="00F64DDD"/>
    <w:rsid w:val="00F66452"/>
    <w:rsid w:val="00F669D0"/>
    <w:rsid w:val="00F71BF1"/>
    <w:rsid w:val="00F72AC2"/>
    <w:rsid w:val="00F72F40"/>
    <w:rsid w:val="00F738F8"/>
    <w:rsid w:val="00F80233"/>
    <w:rsid w:val="00F81C69"/>
    <w:rsid w:val="00F84222"/>
    <w:rsid w:val="00F8459F"/>
    <w:rsid w:val="00F84D96"/>
    <w:rsid w:val="00F8575B"/>
    <w:rsid w:val="00F915C7"/>
    <w:rsid w:val="00F91B13"/>
    <w:rsid w:val="00F91FE5"/>
    <w:rsid w:val="00F9239B"/>
    <w:rsid w:val="00F924A7"/>
    <w:rsid w:val="00F929BC"/>
    <w:rsid w:val="00F930CC"/>
    <w:rsid w:val="00F94177"/>
    <w:rsid w:val="00F95969"/>
    <w:rsid w:val="00F9698C"/>
    <w:rsid w:val="00F97A40"/>
    <w:rsid w:val="00F97FAE"/>
    <w:rsid w:val="00FA14CC"/>
    <w:rsid w:val="00FA1ECA"/>
    <w:rsid w:val="00FA237B"/>
    <w:rsid w:val="00FA3657"/>
    <w:rsid w:val="00FA5517"/>
    <w:rsid w:val="00FA6284"/>
    <w:rsid w:val="00FA63A8"/>
    <w:rsid w:val="00FA6F9A"/>
    <w:rsid w:val="00FB01DA"/>
    <w:rsid w:val="00FB1014"/>
    <w:rsid w:val="00FB1A80"/>
    <w:rsid w:val="00FB30E5"/>
    <w:rsid w:val="00FB3AD7"/>
    <w:rsid w:val="00FB4362"/>
    <w:rsid w:val="00FB51B7"/>
    <w:rsid w:val="00FB595F"/>
    <w:rsid w:val="00FB638A"/>
    <w:rsid w:val="00FB66C6"/>
    <w:rsid w:val="00FB7434"/>
    <w:rsid w:val="00FC0795"/>
    <w:rsid w:val="00FC0CCC"/>
    <w:rsid w:val="00FC0EAC"/>
    <w:rsid w:val="00FC270B"/>
    <w:rsid w:val="00FC2E9E"/>
    <w:rsid w:val="00FC2EB0"/>
    <w:rsid w:val="00FC4CFC"/>
    <w:rsid w:val="00FC60A4"/>
    <w:rsid w:val="00FC7B27"/>
    <w:rsid w:val="00FC7C30"/>
    <w:rsid w:val="00FD1412"/>
    <w:rsid w:val="00FD178C"/>
    <w:rsid w:val="00FD1D07"/>
    <w:rsid w:val="00FD20B9"/>
    <w:rsid w:val="00FD23AE"/>
    <w:rsid w:val="00FD4E33"/>
    <w:rsid w:val="00FD5461"/>
    <w:rsid w:val="00FD782D"/>
    <w:rsid w:val="00FE074B"/>
    <w:rsid w:val="00FE0D23"/>
    <w:rsid w:val="00FE1371"/>
    <w:rsid w:val="00FE1C57"/>
    <w:rsid w:val="00FE36DB"/>
    <w:rsid w:val="00FE3FE8"/>
    <w:rsid w:val="00FE44F7"/>
    <w:rsid w:val="00FE6103"/>
    <w:rsid w:val="00FE6C1C"/>
    <w:rsid w:val="00FE70C0"/>
    <w:rsid w:val="00FE730B"/>
    <w:rsid w:val="00FF05DF"/>
    <w:rsid w:val="00FF0653"/>
    <w:rsid w:val="00FF11AE"/>
    <w:rsid w:val="00FF135B"/>
    <w:rsid w:val="00FF1574"/>
    <w:rsid w:val="00FF26DB"/>
    <w:rsid w:val="00FF3EA9"/>
    <w:rsid w:val="00FF4C34"/>
    <w:rsid w:val="00FF5031"/>
    <w:rsid w:val="00FF5173"/>
    <w:rsid w:val="00FF5384"/>
    <w:rsid w:val="00FF5A17"/>
    <w:rsid w:val="00FF635A"/>
    <w:rsid w:val="00FF6DD0"/>
    <w:rsid w:val="00FF702F"/>
    <w:rsid w:val="00FF7579"/>
    <w:rsid w:val="00FF7DA6"/>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259A29-EC88-4359-8D91-C00E770C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A1"/>
    <w:pPr>
      <w:spacing w:after="200" w:line="276" w:lineRule="auto"/>
    </w:pPr>
    <w:rPr>
      <w:sz w:val="22"/>
      <w:szCs w:val="22"/>
    </w:rPr>
  </w:style>
  <w:style w:type="paragraph" w:styleId="Heading1">
    <w:name w:val="heading 1"/>
    <w:basedOn w:val="Normal"/>
    <w:next w:val="Normal"/>
    <w:link w:val="Heading1Char"/>
    <w:uiPriority w:val="9"/>
    <w:qFormat/>
    <w:rsid w:val="00260F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DB0E4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DB0E4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385D4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385D4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004C8A"/>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81A"/>
    <w:pPr>
      <w:widowControl w:val="0"/>
      <w:autoSpaceDE w:val="0"/>
      <w:autoSpaceDN w:val="0"/>
      <w:adjustRightInd w:val="0"/>
    </w:pPr>
    <w:rPr>
      <w:rFonts w:ascii="Univers 45 Light" w:hAnsi="Univers 45 Light" w:cs="Univers 45 Light"/>
      <w:color w:val="000000"/>
      <w:sz w:val="24"/>
      <w:szCs w:val="24"/>
    </w:rPr>
  </w:style>
  <w:style w:type="paragraph" w:customStyle="1" w:styleId="CM11">
    <w:name w:val="CM11"/>
    <w:basedOn w:val="Default"/>
    <w:next w:val="Default"/>
    <w:uiPriority w:val="99"/>
    <w:rsid w:val="006C181A"/>
    <w:rPr>
      <w:rFonts w:cs="Times New Roman"/>
      <w:color w:val="auto"/>
    </w:rPr>
  </w:style>
  <w:style w:type="paragraph" w:customStyle="1" w:styleId="CM1">
    <w:name w:val="CM1"/>
    <w:basedOn w:val="Default"/>
    <w:next w:val="Default"/>
    <w:uiPriority w:val="99"/>
    <w:rsid w:val="006C181A"/>
    <w:pPr>
      <w:spacing w:line="260" w:lineRule="atLeast"/>
    </w:pPr>
    <w:rPr>
      <w:rFonts w:cs="Times New Roman"/>
      <w:color w:val="auto"/>
    </w:rPr>
  </w:style>
  <w:style w:type="paragraph" w:customStyle="1" w:styleId="CM2">
    <w:name w:val="CM2"/>
    <w:basedOn w:val="Default"/>
    <w:next w:val="Default"/>
    <w:uiPriority w:val="99"/>
    <w:rsid w:val="006C181A"/>
    <w:pPr>
      <w:spacing w:line="260" w:lineRule="atLeast"/>
    </w:pPr>
    <w:rPr>
      <w:rFonts w:cs="Times New Roman"/>
      <w:color w:val="auto"/>
    </w:rPr>
  </w:style>
  <w:style w:type="paragraph" w:customStyle="1" w:styleId="CM12">
    <w:name w:val="CM12"/>
    <w:basedOn w:val="Default"/>
    <w:next w:val="Default"/>
    <w:uiPriority w:val="99"/>
    <w:rsid w:val="006C181A"/>
    <w:rPr>
      <w:rFonts w:cs="Times New Roman"/>
      <w:color w:val="auto"/>
    </w:rPr>
  </w:style>
  <w:style w:type="paragraph" w:customStyle="1" w:styleId="CM3">
    <w:name w:val="CM3"/>
    <w:basedOn w:val="Default"/>
    <w:next w:val="Default"/>
    <w:uiPriority w:val="99"/>
    <w:rsid w:val="006C181A"/>
    <w:pPr>
      <w:spacing w:line="260" w:lineRule="atLeast"/>
    </w:pPr>
    <w:rPr>
      <w:rFonts w:cs="Times New Roman"/>
      <w:color w:val="auto"/>
    </w:rPr>
  </w:style>
  <w:style w:type="paragraph" w:customStyle="1" w:styleId="CM4">
    <w:name w:val="CM4"/>
    <w:basedOn w:val="Default"/>
    <w:next w:val="Default"/>
    <w:uiPriority w:val="99"/>
    <w:rsid w:val="006C181A"/>
    <w:pPr>
      <w:spacing w:line="251" w:lineRule="atLeast"/>
    </w:pPr>
    <w:rPr>
      <w:rFonts w:cs="Times New Roman"/>
      <w:color w:val="auto"/>
    </w:rPr>
  </w:style>
  <w:style w:type="paragraph" w:customStyle="1" w:styleId="CM5">
    <w:name w:val="CM5"/>
    <w:basedOn w:val="Default"/>
    <w:next w:val="Default"/>
    <w:uiPriority w:val="99"/>
    <w:rsid w:val="006C181A"/>
    <w:pPr>
      <w:spacing w:line="260" w:lineRule="atLeast"/>
    </w:pPr>
    <w:rPr>
      <w:rFonts w:cs="Times New Roman"/>
      <w:color w:val="auto"/>
    </w:rPr>
  </w:style>
  <w:style w:type="paragraph" w:customStyle="1" w:styleId="CM13">
    <w:name w:val="CM13"/>
    <w:basedOn w:val="Default"/>
    <w:next w:val="Default"/>
    <w:uiPriority w:val="99"/>
    <w:rsid w:val="006C181A"/>
    <w:rPr>
      <w:rFonts w:cs="Times New Roman"/>
      <w:color w:val="auto"/>
    </w:rPr>
  </w:style>
  <w:style w:type="paragraph" w:customStyle="1" w:styleId="CM6">
    <w:name w:val="CM6"/>
    <w:basedOn w:val="Default"/>
    <w:next w:val="Default"/>
    <w:uiPriority w:val="99"/>
    <w:rsid w:val="006C181A"/>
    <w:rPr>
      <w:rFonts w:cs="Times New Roman"/>
      <w:color w:val="auto"/>
    </w:rPr>
  </w:style>
  <w:style w:type="paragraph" w:customStyle="1" w:styleId="CM7">
    <w:name w:val="CM7"/>
    <w:basedOn w:val="Default"/>
    <w:next w:val="Default"/>
    <w:uiPriority w:val="99"/>
    <w:rsid w:val="006C181A"/>
    <w:rPr>
      <w:rFonts w:cs="Times New Roman"/>
      <w:color w:val="auto"/>
    </w:rPr>
  </w:style>
  <w:style w:type="paragraph" w:customStyle="1" w:styleId="CM14">
    <w:name w:val="CM14"/>
    <w:basedOn w:val="Default"/>
    <w:next w:val="Default"/>
    <w:uiPriority w:val="99"/>
    <w:rsid w:val="006C181A"/>
    <w:rPr>
      <w:rFonts w:cs="Times New Roman"/>
      <w:color w:val="auto"/>
    </w:rPr>
  </w:style>
  <w:style w:type="paragraph" w:customStyle="1" w:styleId="CM8">
    <w:name w:val="CM8"/>
    <w:basedOn w:val="Default"/>
    <w:next w:val="Default"/>
    <w:uiPriority w:val="99"/>
    <w:rsid w:val="006C181A"/>
    <w:rPr>
      <w:rFonts w:cs="Times New Roman"/>
      <w:color w:val="auto"/>
    </w:rPr>
  </w:style>
  <w:style w:type="paragraph" w:customStyle="1" w:styleId="CM9">
    <w:name w:val="CM9"/>
    <w:basedOn w:val="Default"/>
    <w:next w:val="Default"/>
    <w:uiPriority w:val="99"/>
    <w:rsid w:val="006C181A"/>
    <w:rPr>
      <w:rFonts w:cs="Times New Roman"/>
      <w:color w:val="auto"/>
    </w:rPr>
  </w:style>
  <w:style w:type="paragraph" w:customStyle="1" w:styleId="CM15">
    <w:name w:val="CM15"/>
    <w:basedOn w:val="Default"/>
    <w:next w:val="Default"/>
    <w:uiPriority w:val="99"/>
    <w:rsid w:val="003E2FCF"/>
    <w:rPr>
      <w:rFonts w:cs="Times New Roman"/>
      <w:color w:val="auto"/>
    </w:rPr>
  </w:style>
  <w:style w:type="paragraph" w:customStyle="1" w:styleId="CM16">
    <w:name w:val="CM16"/>
    <w:basedOn w:val="Default"/>
    <w:next w:val="Default"/>
    <w:uiPriority w:val="99"/>
    <w:rsid w:val="003E2FCF"/>
    <w:rPr>
      <w:rFonts w:cs="Times New Roman"/>
      <w:color w:val="auto"/>
    </w:rPr>
  </w:style>
  <w:style w:type="paragraph" w:customStyle="1" w:styleId="CM17">
    <w:name w:val="CM17"/>
    <w:basedOn w:val="Default"/>
    <w:next w:val="Default"/>
    <w:uiPriority w:val="99"/>
    <w:rsid w:val="003E2FCF"/>
    <w:rPr>
      <w:rFonts w:cs="Times New Roman"/>
      <w:color w:val="auto"/>
    </w:rPr>
  </w:style>
  <w:style w:type="paragraph" w:customStyle="1" w:styleId="CM18">
    <w:name w:val="CM18"/>
    <w:basedOn w:val="Default"/>
    <w:next w:val="Default"/>
    <w:uiPriority w:val="99"/>
    <w:rsid w:val="003E2FCF"/>
    <w:rPr>
      <w:rFonts w:cs="Times New Roman"/>
      <w:color w:val="auto"/>
    </w:rPr>
  </w:style>
  <w:style w:type="paragraph" w:customStyle="1" w:styleId="CM19">
    <w:name w:val="CM19"/>
    <w:basedOn w:val="Default"/>
    <w:next w:val="Default"/>
    <w:uiPriority w:val="99"/>
    <w:rsid w:val="003E2FCF"/>
    <w:rPr>
      <w:rFonts w:cs="Times New Roman"/>
      <w:color w:val="auto"/>
    </w:rPr>
  </w:style>
  <w:style w:type="paragraph" w:customStyle="1" w:styleId="CM10">
    <w:name w:val="CM10"/>
    <w:basedOn w:val="Default"/>
    <w:uiPriority w:val="99"/>
    <w:rsid w:val="0086374E"/>
    <w:pPr>
      <w:spacing w:before="120" w:after="120" w:line="260" w:lineRule="atLeast"/>
    </w:pPr>
    <w:rPr>
      <w:rFonts w:ascii="Times New Roman" w:hAnsi="Times New Roman" w:cs="Times New Roman"/>
      <w:color w:val="211E1F"/>
      <w:sz w:val="20"/>
      <w:szCs w:val="20"/>
      <w:lang w:val="en-GB"/>
    </w:rPr>
  </w:style>
  <w:style w:type="paragraph" w:customStyle="1" w:styleId="CM23">
    <w:name w:val="CM23"/>
    <w:basedOn w:val="Default"/>
    <w:next w:val="Default"/>
    <w:uiPriority w:val="99"/>
    <w:rsid w:val="003E2FCF"/>
    <w:rPr>
      <w:rFonts w:cs="Times New Roman"/>
      <w:color w:val="auto"/>
    </w:rPr>
  </w:style>
  <w:style w:type="paragraph" w:customStyle="1" w:styleId="CM25">
    <w:name w:val="CM25"/>
    <w:basedOn w:val="Default"/>
    <w:next w:val="Default"/>
    <w:uiPriority w:val="99"/>
    <w:rsid w:val="003E2FCF"/>
    <w:rPr>
      <w:rFonts w:cs="Times New Roman"/>
      <w:color w:val="auto"/>
    </w:rPr>
  </w:style>
  <w:style w:type="paragraph" w:customStyle="1" w:styleId="CM27">
    <w:name w:val="CM27"/>
    <w:basedOn w:val="Default"/>
    <w:next w:val="Default"/>
    <w:uiPriority w:val="99"/>
    <w:rsid w:val="003E2FCF"/>
    <w:rPr>
      <w:rFonts w:cs="Times New Roman"/>
      <w:color w:val="auto"/>
    </w:rPr>
  </w:style>
  <w:style w:type="paragraph" w:customStyle="1" w:styleId="CM20">
    <w:name w:val="CM20"/>
    <w:basedOn w:val="Default"/>
    <w:next w:val="Default"/>
    <w:uiPriority w:val="99"/>
    <w:rsid w:val="003E2FCF"/>
    <w:pPr>
      <w:spacing w:line="256" w:lineRule="atLeast"/>
    </w:pPr>
    <w:rPr>
      <w:rFonts w:cs="Times New Roman"/>
      <w:color w:val="auto"/>
    </w:rPr>
  </w:style>
  <w:style w:type="paragraph" w:customStyle="1" w:styleId="CM22">
    <w:name w:val="CM22"/>
    <w:basedOn w:val="Default"/>
    <w:next w:val="Default"/>
    <w:uiPriority w:val="99"/>
    <w:rsid w:val="003E2FCF"/>
    <w:pPr>
      <w:spacing w:line="256" w:lineRule="atLeast"/>
    </w:pPr>
    <w:rPr>
      <w:rFonts w:cs="Times New Roman"/>
      <w:color w:val="auto"/>
    </w:rPr>
  </w:style>
  <w:style w:type="paragraph" w:customStyle="1" w:styleId="CM21">
    <w:name w:val="CM21"/>
    <w:basedOn w:val="Default"/>
    <w:next w:val="Default"/>
    <w:uiPriority w:val="99"/>
    <w:rsid w:val="003E2FCF"/>
    <w:rPr>
      <w:rFonts w:ascii="Univers 55" w:hAnsi="Univers 55" w:cs="Times New Roman"/>
      <w:color w:val="auto"/>
    </w:rPr>
  </w:style>
  <w:style w:type="paragraph" w:customStyle="1" w:styleId="CM24">
    <w:name w:val="CM24"/>
    <w:basedOn w:val="Default"/>
    <w:next w:val="Default"/>
    <w:uiPriority w:val="99"/>
    <w:rsid w:val="003E2FCF"/>
    <w:rPr>
      <w:rFonts w:cs="Times New Roman"/>
      <w:color w:val="auto"/>
    </w:rPr>
  </w:style>
  <w:style w:type="paragraph" w:customStyle="1" w:styleId="CM26">
    <w:name w:val="CM26"/>
    <w:basedOn w:val="Default"/>
    <w:next w:val="Default"/>
    <w:uiPriority w:val="99"/>
    <w:rsid w:val="003E2FCF"/>
    <w:rPr>
      <w:rFonts w:cs="Times New Roman"/>
      <w:color w:val="auto"/>
    </w:rPr>
  </w:style>
  <w:style w:type="paragraph" w:customStyle="1" w:styleId="CM28">
    <w:name w:val="CM28"/>
    <w:basedOn w:val="Default"/>
    <w:next w:val="Default"/>
    <w:uiPriority w:val="99"/>
    <w:rsid w:val="003E2FCF"/>
    <w:rPr>
      <w:rFonts w:cs="Times New Roman"/>
      <w:color w:val="auto"/>
    </w:rPr>
  </w:style>
  <w:style w:type="paragraph" w:customStyle="1" w:styleId="CM29">
    <w:name w:val="CM29"/>
    <w:basedOn w:val="Default"/>
    <w:next w:val="Default"/>
    <w:uiPriority w:val="99"/>
    <w:rsid w:val="003E2FCF"/>
    <w:rPr>
      <w:rFonts w:cs="Times New Roman"/>
      <w:color w:val="auto"/>
    </w:rPr>
  </w:style>
  <w:style w:type="paragraph" w:customStyle="1" w:styleId="CM30">
    <w:name w:val="CM30"/>
    <w:basedOn w:val="Default"/>
    <w:next w:val="Default"/>
    <w:uiPriority w:val="99"/>
    <w:rsid w:val="003E2FCF"/>
    <w:rPr>
      <w:rFonts w:cs="Times New Roman"/>
      <w:color w:val="auto"/>
    </w:rPr>
  </w:style>
  <w:style w:type="paragraph" w:styleId="BalloonText">
    <w:name w:val="Balloon Text"/>
    <w:basedOn w:val="Normal"/>
    <w:link w:val="BalloonTextChar"/>
    <w:uiPriority w:val="99"/>
    <w:semiHidden/>
    <w:unhideWhenUsed/>
    <w:rsid w:val="00966D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6D05"/>
    <w:rPr>
      <w:rFonts w:ascii="Tahoma" w:hAnsi="Tahoma" w:cs="Tahoma"/>
      <w:sz w:val="16"/>
      <w:szCs w:val="16"/>
    </w:rPr>
  </w:style>
  <w:style w:type="table" w:styleId="TableGrid">
    <w:name w:val="Table Grid"/>
    <w:basedOn w:val="TableNormal"/>
    <w:rsid w:val="00251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260F4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B0E4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B0E4C"/>
    <w:rPr>
      <w:rFonts w:ascii="Cambria" w:eastAsia="Times New Roman" w:hAnsi="Cambria" w:cs="Times New Roman"/>
      <w:b/>
      <w:bCs/>
      <w:color w:val="4F81BD"/>
    </w:rPr>
  </w:style>
  <w:style w:type="paragraph" w:styleId="DocumentMap">
    <w:name w:val="Document Map"/>
    <w:basedOn w:val="Normal"/>
    <w:link w:val="DocumentMapChar"/>
    <w:uiPriority w:val="99"/>
    <w:semiHidden/>
    <w:unhideWhenUsed/>
    <w:rsid w:val="00DB0E4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DB0E4C"/>
    <w:rPr>
      <w:rFonts w:ascii="Tahoma" w:hAnsi="Tahoma" w:cs="Tahoma"/>
      <w:sz w:val="16"/>
      <w:szCs w:val="16"/>
    </w:rPr>
  </w:style>
  <w:style w:type="paragraph" w:styleId="Header">
    <w:name w:val="header"/>
    <w:aliases w:val="hd"/>
    <w:basedOn w:val="Normal"/>
    <w:link w:val="HeaderChar"/>
    <w:uiPriority w:val="99"/>
    <w:unhideWhenUsed/>
    <w:rsid w:val="0003766D"/>
    <w:pPr>
      <w:tabs>
        <w:tab w:val="center" w:pos="4703"/>
        <w:tab w:val="right" w:pos="9406"/>
      </w:tabs>
      <w:spacing w:after="0" w:line="240" w:lineRule="auto"/>
    </w:pPr>
  </w:style>
  <w:style w:type="character" w:customStyle="1" w:styleId="HeaderChar">
    <w:name w:val="Header Char"/>
    <w:aliases w:val="hd Char"/>
    <w:basedOn w:val="DefaultParagraphFont"/>
    <w:link w:val="Header"/>
    <w:uiPriority w:val="99"/>
    <w:rsid w:val="0003766D"/>
  </w:style>
  <w:style w:type="paragraph" w:styleId="Footer">
    <w:name w:val="footer"/>
    <w:basedOn w:val="Normal"/>
    <w:link w:val="FooterChar"/>
    <w:uiPriority w:val="99"/>
    <w:unhideWhenUsed/>
    <w:rsid w:val="000376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766D"/>
  </w:style>
  <w:style w:type="character" w:customStyle="1" w:styleId="Heading4Char">
    <w:name w:val="Heading 4 Char"/>
    <w:link w:val="Heading4"/>
    <w:uiPriority w:val="9"/>
    <w:rsid w:val="00385D4D"/>
    <w:rPr>
      <w:rFonts w:ascii="Cambria" w:eastAsia="Times New Roman" w:hAnsi="Cambria" w:cs="Times New Roman"/>
      <w:b/>
      <w:bCs/>
      <w:i/>
      <w:iCs/>
      <w:color w:val="4F81BD"/>
    </w:rPr>
  </w:style>
  <w:style w:type="character" w:customStyle="1" w:styleId="Heading5Char">
    <w:name w:val="Heading 5 Char"/>
    <w:link w:val="Heading5"/>
    <w:uiPriority w:val="9"/>
    <w:rsid w:val="00385D4D"/>
    <w:rPr>
      <w:rFonts w:ascii="Cambria" w:eastAsia="Times New Roman" w:hAnsi="Cambria" w:cs="Times New Roman"/>
      <w:color w:val="243F60"/>
    </w:rPr>
  </w:style>
  <w:style w:type="paragraph" w:customStyle="1" w:styleId="ColorfulList-Accent11">
    <w:name w:val="Colorful List - Accent 11"/>
    <w:basedOn w:val="Normal"/>
    <w:uiPriority w:val="34"/>
    <w:qFormat/>
    <w:rsid w:val="00026395"/>
    <w:pPr>
      <w:ind w:left="720"/>
      <w:contextualSpacing/>
    </w:pPr>
  </w:style>
  <w:style w:type="paragraph" w:customStyle="1" w:styleId="CM42">
    <w:name w:val="CM42"/>
    <w:basedOn w:val="Default"/>
    <w:next w:val="Default"/>
    <w:uiPriority w:val="99"/>
    <w:rsid w:val="00CF575B"/>
    <w:rPr>
      <w:rFonts w:cs="Times New Roman"/>
      <w:color w:val="auto"/>
    </w:rPr>
  </w:style>
  <w:style w:type="paragraph" w:customStyle="1" w:styleId="CM37">
    <w:name w:val="CM37"/>
    <w:basedOn w:val="Default"/>
    <w:next w:val="Default"/>
    <w:uiPriority w:val="99"/>
    <w:rsid w:val="00CF575B"/>
    <w:rPr>
      <w:rFonts w:cs="Times New Roman"/>
      <w:color w:val="auto"/>
    </w:rPr>
  </w:style>
  <w:style w:type="paragraph" w:customStyle="1" w:styleId="CM36">
    <w:name w:val="CM36"/>
    <w:basedOn w:val="Default"/>
    <w:next w:val="Default"/>
    <w:uiPriority w:val="99"/>
    <w:rsid w:val="00CF575B"/>
    <w:rPr>
      <w:rFonts w:cs="Times New Roman"/>
      <w:color w:val="auto"/>
    </w:rPr>
  </w:style>
  <w:style w:type="paragraph" w:customStyle="1" w:styleId="CM38">
    <w:name w:val="CM38"/>
    <w:basedOn w:val="Default"/>
    <w:next w:val="Default"/>
    <w:uiPriority w:val="99"/>
    <w:rsid w:val="00CF575B"/>
    <w:rPr>
      <w:rFonts w:cs="Times New Roman"/>
      <w:color w:val="auto"/>
    </w:rPr>
  </w:style>
  <w:style w:type="paragraph" w:customStyle="1" w:styleId="CM40">
    <w:name w:val="CM40"/>
    <w:basedOn w:val="Default"/>
    <w:next w:val="Default"/>
    <w:uiPriority w:val="99"/>
    <w:rsid w:val="00CF575B"/>
    <w:rPr>
      <w:rFonts w:cs="Times New Roman"/>
      <w:color w:val="auto"/>
    </w:rPr>
  </w:style>
  <w:style w:type="paragraph" w:customStyle="1" w:styleId="CM41">
    <w:name w:val="CM41"/>
    <w:basedOn w:val="Default"/>
    <w:next w:val="Default"/>
    <w:uiPriority w:val="99"/>
    <w:rsid w:val="00CF575B"/>
    <w:rPr>
      <w:rFonts w:cs="Times New Roman"/>
      <w:color w:val="auto"/>
    </w:rPr>
  </w:style>
  <w:style w:type="paragraph" w:customStyle="1" w:styleId="CM32">
    <w:name w:val="CM32"/>
    <w:basedOn w:val="Default"/>
    <w:next w:val="Default"/>
    <w:uiPriority w:val="99"/>
    <w:rsid w:val="00CF575B"/>
    <w:rPr>
      <w:rFonts w:cs="Times New Roman"/>
      <w:color w:val="auto"/>
    </w:rPr>
  </w:style>
  <w:style w:type="character" w:customStyle="1" w:styleId="Heading6Char">
    <w:name w:val="Heading 6 Char"/>
    <w:link w:val="Heading6"/>
    <w:uiPriority w:val="9"/>
    <w:rsid w:val="00004C8A"/>
    <w:rPr>
      <w:rFonts w:ascii="Cambria" w:eastAsia="Times New Roman" w:hAnsi="Cambria" w:cs="Times New Roman"/>
      <w:i/>
      <w:iCs/>
      <w:color w:val="243F60"/>
    </w:rPr>
  </w:style>
  <w:style w:type="character" w:customStyle="1" w:styleId="TOC1Char">
    <w:name w:val="TOC 1 Char"/>
    <w:link w:val="TOC1"/>
    <w:uiPriority w:val="39"/>
    <w:rsid w:val="008F1088"/>
    <w:rPr>
      <w:rFonts w:ascii="Times New Roman" w:hAnsi="Times New Roman"/>
    </w:rPr>
  </w:style>
  <w:style w:type="paragraph" w:styleId="TOC1">
    <w:name w:val="toc 1"/>
    <w:basedOn w:val="Normal"/>
    <w:next w:val="Normal"/>
    <w:link w:val="TOC1Char"/>
    <w:autoRedefine/>
    <w:uiPriority w:val="39"/>
    <w:unhideWhenUsed/>
    <w:rsid w:val="008F1088"/>
    <w:pPr>
      <w:tabs>
        <w:tab w:val="left" w:pos="397"/>
        <w:tab w:val="right" w:leader="dot" w:pos="8820"/>
      </w:tabs>
      <w:spacing w:after="0"/>
    </w:pPr>
    <w:rPr>
      <w:rFonts w:ascii="Times New Roman" w:hAnsi="Times New Roman"/>
    </w:rPr>
  </w:style>
  <w:style w:type="character" w:styleId="Hyperlink">
    <w:name w:val="Hyperlink"/>
    <w:uiPriority w:val="99"/>
    <w:unhideWhenUsed/>
    <w:rsid w:val="008C5491"/>
    <w:rPr>
      <w:color w:val="0000FF"/>
      <w:u w:val="single"/>
    </w:rPr>
  </w:style>
  <w:style w:type="paragraph" w:styleId="BodyText">
    <w:name w:val="Body Text"/>
    <w:basedOn w:val="Normal"/>
    <w:link w:val="BodyTextChar"/>
    <w:rsid w:val="00B12741"/>
    <w:pPr>
      <w:overflowPunct w:val="0"/>
      <w:autoSpaceDE w:val="0"/>
      <w:autoSpaceDN w:val="0"/>
      <w:adjustRightInd w:val="0"/>
      <w:spacing w:before="130" w:after="130" w:line="260" w:lineRule="atLeast"/>
      <w:jc w:val="both"/>
      <w:textAlignment w:val="baseline"/>
    </w:pPr>
    <w:rPr>
      <w:rFonts w:ascii="Times New Roman" w:hAnsi="Times New Roman"/>
      <w:sz w:val="20"/>
      <w:szCs w:val="20"/>
      <w:lang w:val="en-GB"/>
    </w:rPr>
  </w:style>
  <w:style w:type="character" w:customStyle="1" w:styleId="BodyTextChar">
    <w:name w:val="Body Text Char"/>
    <w:link w:val="BodyText"/>
    <w:rsid w:val="00B12741"/>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06138"/>
    <w:pPr>
      <w:overflowPunct w:val="0"/>
      <w:autoSpaceDE w:val="0"/>
      <w:autoSpaceDN w:val="0"/>
      <w:adjustRightInd w:val="0"/>
      <w:spacing w:line="260" w:lineRule="atLeast"/>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6">
    <w:name w:val="Font Style156"/>
    <w:rsid w:val="0015122A"/>
    <w:rPr>
      <w:rFonts w:ascii="Arial" w:hAnsi="Arial" w:cs="Arial"/>
      <w:sz w:val="18"/>
      <w:szCs w:val="18"/>
    </w:rPr>
  </w:style>
  <w:style w:type="character" w:customStyle="1" w:styleId="FontStyle154">
    <w:name w:val="Font Style154"/>
    <w:rsid w:val="00702006"/>
    <w:rPr>
      <w:rFonts w:ascii="Arial" w:hAnsi="Arial" w:cs="Arial"/>
      <w:b/>
      <w:bCs/>
      <w:sz w:val="18"/>
      <w:szCs w:val="18"/>
    </w:rPr>
  </w:style>
  <w:style w:type="paragraph" w:customStyle="1" w:styleId="Style50">
    <w:name w:val="Style50"/>
    <w:basedOn w:val="Normal"/>
    <w:rsid w:val="00702006"/>
    <w:pPr>
      <w:widowControl w:val="0"/>
      <w:autoSpaceDE w:val="0"/>
      <w:autoSpaceDN w:val="0"/>
      <w:adjustRightInd w:val="0"/>
      <w:spacing w:after="0" w:line="240" w:lineRule="auto"/>
    </w:pPr>
    <w:rPr>
      <w:rFonts w:ascii="Arial" w:hAnsi="Arial"/>
      <w:sz w:val="24"/>
      <w:szCs w:val="24"/>
    </w:rPr>
  </w:style>
  <w:style w:type="paragraph" w:customStyle="1" w:styleId="Style112">
    <w:name w:val="Style112"/>
    <w:basedOn w:val="Normal"/>
    <w:rsid w:val="00702006"/>
    <w:pPr>
      <w:widowControl w:val="0"/>
      <w:autoSpaceDE w:val="0"/>
      <w:autoSpaceDN w:val="0"/>
      <w:adjustRightInd w:val="0"/>
      <w:spacing w:after="0" w:line="240" w:lineRule="auto"/>
    </w:pPr>
    <w:rPr>
      <w:rFonts w:ascii="Arial" w:hAnsi="Arial"/>
      <w:sz w:val="24"/>
      <w:szCs w:val="24"/>
    </w:rPr>
  </w:style>
  <w:style w:type="paragraph" w:customStyle="1" w:styleId="Style48">
    <w:name w:val="Style48"/>
    <w:basedOn w:val="Normal"/>
    <w:rsid w:val="001B4CA1"/>
    <w:pPr>
      <w:widowControl w:val="0"/>
      <w:autoSpaceDE w:val="0"/>
      <w:autoSpaceDN w:val="0"/>
      <w:adjustRightInd w:val="0"/>
      <w:spacing w:after="0" w:line="259" w:lineRule="exact"/>
      <w:ind w:hanging="278"/>
    </w:pPr>
    <w:rPr>
      <w:rFonts w:ascii="Arial" w:hAnsi="Arial"/>
      <w:sz w:val="24"/>
      <w:szCs w:val="24"/>
    </w:rPr>
  </w:style>
  <w:style w:type="paragraph" w:styleId="NormalWeb">
    <w:name w:val="Normal (Web)"/>
    <w:basedOn w:val="Normal"/>
    <w:rsid w:val="00F23AB5"/>
    <w:pPr>
      <w:spacing w:after="255" w:line="255" w:lineRule="atLeast"/>
      <w:ind w:right="480"/>
    </w:pPr>
    <w:rPr>
      <w:rFonts w:ascii="Times New Roman" w:hAnsi="Times New Roman"/>
      <w:color w:val="000000"/>
      <w:sz w:val="24"/>
      <w:szCs w:val="24"/>
    </w:rPr>
  </w:style>
  <w:style w:type="paragraph" w:customStyle="1" w:styleId="Style24">
    <w:name w:val="Style24"/>
    <w:basedOn w:val="Normal"/>
    <w:rsid w:val="008703CE"/>
    <w:pPr>
      <w:widowControl w:val="0"/>
      <w:autoSpaceDE w:val="0"/>
      <w:autoSpaceDN w:val="0"/>
      <w:adjustRightInd w:val="0"/>
      <w:spacing w:after="0" w:line="211" w:lineRule="exact"/>
      <w:jc w:val="right"/>
    </w:pPr>
    <w:rPr>
      <w:rFonts w:ascii="Arial" w:hAnsi="Arial"/>
      <w:sz w:val="24"/>
      <w:szCs w:val="24"/>
    </w:rPr>
  </w:style>
  <w:style w:type="paragraph" w:customStyle="1" w:styleId="Style56">
    <w:name w:val="Style56"/>
    <w:basedOn w:val="Normal"/>
    <w:rsid w:val="008703CE"/>
    <w:pPr>
      <w:widowControl w:val="0"/>
      <w:autoSpaceDE w:val="0"/>
      <w:autoSpaceDN w:val="0"/>
      <w:adjustRightInd w:val="0"/>
      <w:spacing w:after="0" w:line="226" w:lineRule="exact"/>
    </w:pPr>
    <w:rPr>
      <w:rFonts w:ascii="Arial" w:hAnsi="Arial"/>
      <w:sz w:val="24"/>
      <w:szCs w:val="24"/>
    </w:rPr>
  </w:style>
  <w:style w:type="paragraph" w:customStyle="1" w:styleId="Style76">
    <w:name w:val="Style76"/>
    <w:basedOn w:val="Normal"/>
    <w:rsid w:val="00E818D1"/>
    <w:pPr>
      <w:widowControl w:val="0"/>
      <w:autoSpaceDE w:val="0"/>
      <w:autoSpaceDN w:val="0"/>
      <w:adjustRightInd w:val="0"/>
      <w:spacing w:after="0" w:line="259" w:lineRule="exact"/>
      <w:ind w:firstLine="1512"/>
    </w:pPr>
    <w:rPr>
      <w:rFonts w:ascii="Arial" w:hAnsi="Arial"/>
      <w:sz w:val="24"/>
      <w:szCs w:val="24"/>
    </w:rPr>
  </w:style>
  <w:style w:type="paragraph" w:customStyle="1" w:styleId="Style37">
    <w:name w:val="Style37"/>
    <w:basedOn w:val="Normal"/>
    <w:rsid w:val="00DD7872"/>
    <w:pPr>
      <w:widowControl w:val="0"/>
      <w:autoSpaceDE w:val="0"/>
      <w:autoSpaceDN w:val="0"/>
      <w:adjustRightInd w:val="0"/>
      <w:spacing w:after="0" w:line="240" w:lineRule="auto"/>
    </w:pPr>
    <w:rPr>
      <w:rFonts w:ascii="Arial" w:hAnsi="Arial"/>
      <w:sz w:val="24"/>
      <w:szCs w:val="24"/>
    </w:rPr>
  </w:style>
  <w:style w:type="character" w:customStyle="1" w:styleId="FontStyle147">
    <w:name w:val="Font Style147"/>
    <w:rsid w:val="00694643"/>
    <w:rPr>
      <w:rFonts w:ascii="Arial" w:hAnsi="Arial" w:cs="Arial"/>
      <w:b/>
      <w:bCs/>
      <w:sz w:val="16"/>
      <w:szCs w:val="16"/>
    </w:rPr>
  </w:style>
  <w:style w:type="paragraph" w:customStyle="1" w:styleId="Style70">
    <w:name w:val="Style70"/>
    <w:basedOn w:val="Normal"/>
    <w:rsid w:val="00694643"/>
    <w:pPr>
      <w:widowControl w:val="0"/>
      <w:autoSpaceDE w:val="0"/>
      <w:autoSpaceDN w:val="0"/>
      <w:adjustRightInd w:val="0"/>
      <w:spacing w:after="0" w:line="240" w:lineRule="auto"/>
      <w:jc w:val="right"/>
    </w:pPr>
    <w:rPr>
      <w:rFonts w:ascii="Arial" w:hAnsi="Arial"/>
      <w:sz w:val="24"/>
      <w:szCs w:val="24"/>
    </w:rPr>
  </w:style>
  <w:style w:type="paragraph" w:customStyle="1" w:styleId="Style46">
    <w:name w:val="Style46"/>
    <w:basedOn w:val="Normal"/>
    <w:rsid w:val="00144C35"/>
    <w:pPr>
      <w:widowControl w:val="0"/>
      <w:autoSpaceDE w:val="0"/>
      <w:autoSpaceDN w:val="0"/>
      <w:adjustRightInd w:val="0"/>
      <w:spacing w:after="0" w:line="240" w:lineRule="auto"/>
    </w:pPr>
    <w:rPr>
      <w:rFonts w:ascii="Arial" w:hAnsi="Arial"/>
      <w:sz w:val="24"/>
      <w:szCs w:val="24"/>
    </w:rPr>
  </w:style>
  <w:style w:type="paragraph" w:customStyle="1" w:styleId="Style51">
    <w:name w:val="Style51"/>
    <w:basedOn w:val="Normal"/>
    <w:rsid w:val="00914B2C"/>
    <w:pPr>
      <w:widowControl w:val="0"/>
      <w:autoSpaceDE w:val="0"/>
      <w:autoSpaceDN w:val="0"/>
      <w:adjustRightInd w:val="0"/>
      <w:spacing w:after="0" w:line="240" w:lineRule="auto"/>
      <w:jc w:val="right"/>
    </w:pPr>
    <w:rPr>
      <w:rFonts w:ascii="Arial" w:hAnsi="Arial"/>
      <w:sz w:val="24"/>
      <w:szCs w:val="24"/>
    </w:rPr>
  </w:style>
  <w:style w:type="paragraph" w:customStyle="1" w:styleId="Style92">
    <w:name w:val="Style92"/>
    <w:basedOn w:val="Normal"/>
    <w:rsid w:val="00F31D3C"/>
    <w:pPr>
      <w:widowControl w:val="0"/>
      <w:autoSpaceDE w:val="0"/>
      <w:autoSpaceDN w:val="0"/>
      <w:adjustRightInd w:val="0"/>
      <w:spacing w:after="0" w:line="240" w:lineRule="auto"/>
      <w:jc w:val="both"/>
    </w:pPr>
    <w:rPr>
      <w:rFonts w:ascii="Arial" w:hAnsi="Arial"/>
      <w:sz w:val="24"/>
      <w:szCs w:val="24"/>
    </w:rPr>
  </w:style>
  <w:style w:type="character" w:customStyle="1" w:styleId="FontStyle149">
    <w:name w:val="Font Style149"/>
    <w:rsid w:val="00032611"/>
    <w:rPr>
      <w:rFonts w:ascii="Arial" w:hAnsi="Arial" w:cs="Arial"/>
      <w:i/>
      <w:iCs/>
      <w:sz w:val="16"/>
      <w:szCs w:val="16"/>
    </w:rPr>
  </w:style>
  <w:style w:type="paragraph" w:customStyle="1" w:styleId="Style45">
    <w:name w:val="Style45"/>
    <w:basedOn w:val="Normal"/>
    <w:rsid w:val="00032611"/>
    <w:pPr>
      <w:widowControl w:val="0"/>
      <w:autoSpaceDE w:val="0"/>
      <w:autoSpaceDN w:val="0"/>
      <w:adjustRightInd w:val="0"/>
      <w:spacing w:after="0" w:line="240" w:lineRule="auto"/>
    </w:pPr>
    <w:rPr>
      <w:rFonts w:ascii="Arial" w:hAnsi="Arial"/>
      <w:sz w:val="24"/>
      <w:szCs w:val="24"/>
    </w:rPr>
  </w:style>
  <w:style w:type="paragraph" w:customStyle="1" w:styleId="Style52">
    <w:name w:val="Style52"/>
    <w:basedOn w:val="Normal"/>
    <w:rsid w:val="00032611"/>
    <w:pPr>
      <w:widowControl w:val="0"/>
      <w:autoSpaceDE w:val="0"/>
      <w:autoSpaceDN w:val="0"/>
      <w:adjustRightInd w:val="0"/>
      <w:spacing w:after="0" w:line="240" w:lineRule="auto"/>
    </w:pPr>
    <w:rPr>
      <w:rFonts w:ascii="Arial" w:hAnsi="Arial"/>
      <w:sz w:val="24"/>
      <w:szCs w:val="24"/>
    </w:rPr>
  </w:style>
  <w:style w:type="character" w:customStyle="1" w:styleId="FontStyle146">
    <w:name w:val="Font Style146"/>
    <w:rsid w:val="00032611"/>
    <w:rPr>
      <w:rFonts w:ascii="Arial" w:hAnsi="Arial" w:cs="Arial"/>
      <w:b/>
      <w:bCs/>
      <w:i/>
      <w:iCs/>
      <w:sz w:val="16"/>
      <w:szCs w:val="16"/>
    </w:rPr>
  </w:style>
  <w:style w:type="paragraph" w:customStyle="1" w:styleId="Style6">
    <w:name w:val="Style6"/>
    <w:basedOn w:val="Normal"/>
    <w:rsid w:val="006866C8"/>
    <w:pPr>
      <w:widowControl w:val="0"/>
      <w:autoSpaceDE w:val="0"/>
      <w:autoSpaceDN w:val="0"/>
      <w:adjustRightInd w:val="0"/>
      <w:spacing w:after="0" w:line="259" w:lineRule="exact"/>
      <w:ind w:hanging="1517"/>
    </w:pPr>
    <w:rPr>
      <w:rFonts w:ascii="Arial" w:hAnsi="Arial"/>
      <w:sz w:val="24"/>
      <w:szCs w:val="24"/>
    </w:rPr>
  </w:style>
  <w:style w:type="paragraph" w:customStyle="1" w:styleId="Style63">
    <w:name w:val="Style63"/>
    <w:basedOn w:val="Normal"/>
    <w:rsid w:val="0014244E"/>
    <w:pPr>
      <w:widowControl w:val="0"/>
      <w:autoSpaceDE w:val="0"/>
      <w:autoSpaceDN w:val="0"/>
      <w:adjustRightInd w:val="0"/>
      <w:spacing w:after="0" w:line="240" w:lineRule="auto"/>
    </w:pPr>
    <w:rPr>
      <w:rFonts w:ascii="Arial" w:hAnsi="Arial"/>
      <w:sz w:val="24"/>
      <w:szCs w:val="24"/>
    </w:rPr>
  </w:style>
  <w:style w:type="paragraph" w:customStyle="1" w:styleId="Style2">
    <w:name w:val="Style2"/>
    <w:basedOn w:val="Normal"/>
    <w:rsid w:val="009842A9"/>
    <w:pPr>
      <w:widowControl w:val="0"/>
      <w:autoSpaceDE w:val="0"/>
      <w:autoSpaceDN w:val="0"/>
      <w:adjustRightInd w:val="0"/>
      <w:spacing w:after="0" w:line="257" w:lineRule="exact"/>
    </w:pPr>
    <w:rPr>
      <w:rFonts w:ascii="Arial" w:hAnsi="Arial"/>
      <w:sz w:val="24"/>
      <w:szCs w:val="24"/>
    </w:rPr>
  </w:style>
  <w:style w:type="paragraph" w:customStyle="1" w:styleId="Style7">
    <w:name w:val="Style7"/>
    <w:basedOn w:val="Normal"/>
    <w:rsid w:val="009842A9"/>
    <w:pPr>
      <w:widowControl w:val="0"/>
      <w:autoSpaceDE w:val="0"/>
      <w:autoSpaceDN w:val="0"/>
      <w:adjustRightInd w:val="0"/>
      <w:spacing w:after="0" w:line="259" w:lineRule="exact"/>
      <w:jc w:val="both"/>
    </w:pPr>
    <w:rPr>
      <w:rFonts w:ascii="Arial" w:hAnsi="Arial"/>
      <w:sz w:val="24"/>
      <w:szCs w:val="24"/>
    </w:rPr>
  </w:style>
  <w:style w:type="paragraph" w:customStyle="1" w:styleId="Style94">
    <w:name w:val="Style94"/>
    <w:basedOn w:val="Normal"/>
    <w:rsid w:val="00AF0F3A"/>
    <w:pPr>
      <w:widowControl w:val="0"/>
      <w:autoSpaceDE w:val="0"/>
      <w:autoSpaceDN w:val="0"/>
      <w:adjustRightInd w:val="0"/>
      <w:spacing w:after="0" w:line="240" w:lineRule="auto"/>
      <w:jc w:val="right"/>
    </w:pPr>
    <w:rPr>
      <w:rFonts w:ascii="Arial" w:hAnsi="Arial"/>
      <w:sz w:val="24"/>
      <w:szCs w:val="24"/>
    </w:rPr>
  </w:style>
  <w:style w:type="paragraph" w:customStyle="1" w:styleId="Style117">
    <w:name w:val="Style117"/>
    <w:basedOn w:val="Normal"/>
    <w:rsid w:val="007C7B9D"/>
    <w:pPr>
      <w:widowControl w:val="0"/>
      <w:autoSpaceDE w:val="0"/>
      <w:autoSpaceDN w:val="0"/>
      <w:adjustRightInd w:val="0"/>
      <w:spacing w:after="0" w:line="259" w:lineRule="exact"/>
      <w:jc w:val="right"/>
    </w:pPr>
    <w:rPr>
      <w:rFonts w:ascii="Arial" w:hAnsi="Arial"/>
      <w:sz w:val="24"/>
      <w:szCs w:val="24"/>
    </w:rPr>
  </w:style>
  <w:style w:type="character" w:customStyle="1" w:styleId="FontStyle155">
    <w:name w:val="Font Style155"/>
    <w:rsid w:val="007C7B9D"/>
    <w:rPr>
      <w:rFonts w:ascii="Arial" w:hAnsi="Arial" w:cs="Arial"/>
      <w:sz w:val="12"/>
      <w:szCs w:val="12"/>
    </w:rPr>
  </w:style>
  <w:style w:type="paragraph" w:styleId="ListBullet">
    <w:name w:val="List Bullet"/>
    <w:basedOn w:val="Normal"/>
    <w:uiPriority w:val="99"/>
    <w:unhideWhenUsed/>
    <w:rsid w:val="000C165F"/>
    <w:pPr>
      <w:numPr>
        <w:numId w:val="8"/>
      </w:numPr>
      <w:contextualSpacing/>
    </w:pPr>
  </w:style>
  <w:style w:type="paragraph" w:customStyle="1" w:styleId="Style89">
    <w:name w:val="Style89"/>
    <w:basedOn w:val="Normal"/>
    <w:rsid w:val="00CA6F0A"/>
    <w:pPr>
      <w:widowControl w:val="0"/>
      <w:autoSpaceDE w:val="0"/>
      <w:autoSpaceDN w:val="0"/>
      <w:adjustRightInd w:val="0"/>
      <w:spacing w:after="0" w:line="240" w:lineRule="auto"/>
      <w:jc w:val="right"/>
    </w:pPr>
    <w:rPr>
      <w:rFonts w:ascii="Arial" w:hAnsi="Arial"/>
      <w:sz w:val="24"/>
      <w:szCs w:val="24"/>
    </w:rPr>
  </w:style>
  <w:style w:type="character" w:customStyle="1" w:styleId="FontStyle139">
    <w:name w:val="Font Style139"/>
    <w:rsid w:val="00CA6F0A"/>
    <w:rPr>
      <w:rFonts w:ascii="Arial" w:hAnsi="Arial" w:cs="Arial"/>
      <w:b/>
      <w:bCs/>
      <w:sz w:val="12"/>
      <w:szCs w:val="12"/>
    </w:rPr>
  </w:style>
  <w:style w:type="character" w:customStyle="1" w:styleId="longtext1">
    <w:name w:val="long_text1"/>
    <w:rsid w:val="00CA6F0A"/>
    <w:rPr>
      <w:sz w:val="20"/>
      <w:szCs w:val="20"/>
    </w:rPr>
  </w:style>
  <w:style w:type="paragraph" w:customStyle="1" w:styleId="Style9">
    <w:name w:val="Style9"/>
    <w:basedOn w:val="Normal"/>
    <w:rsid w:val="00CA6F0A"/>
    <w:pPr>
      <w:widowControl w:val="0"/>
      <w:autoSpaceDE w:val="0"/>
      <w:autoSpaceDN w:val="0"/>
      <w:adjustRightInd w:val="0"/>
      <w:spacing w:after="0" w:line="240" w:lineRule="auto"/>
    </w:pPr>
    <w:rPr>
      <w:rFonts w:ascii="Arial" w:hAnsi="Arial"/>
      <w:sz w:val="24"/>
      <w:szCs w:val="24"/>
    </w:rPr>
  </w:style>
  <w:style w:type="paragraph" w:customStyle="1" w:styleId="Style20">
    <w:name w:val="Style20"/>
    <w:basedOn w:val="Normal"/>
    <w:rsid w:val="00CA6F0A"/>
    <w:pPr>
      <w:widowControl w:val="0"/>
      <w:autoSpaceDE w:val="0"/>
      <w:autoSpaceDN w:val="0"/>
      <w:adjustRightInd w:val="0"/>
      <w:spacing w:after="0" w:line="240" w:lineRule="auto"/>
      <w:jc w:val="both"/>
    </w:pPr>
    <w:rPr>
      <w:rFonts w:ascii="Arial" w:hAnsi="Arial"/>
      <w:sz w:val="24"/>
      <w:szCs w:val="24"/>
    </w:rPr>
  </w:style>
  <w:style w:type="paragraph" w:customStyle="1" w:styleId="Style21">
    <w:name w:val="Style21"/>
    <w:basedOn w:val="Normal"/>
    <w:rsid w:val="00CA6F0A"/>
    <w:pPr>
      <w:widowControl w:val="0"/>
      <w:autoSpaceDE w:val="0"/>
      <w:autoSpaceDN w:val="0"/>
      <w:adjustRightInd w:val="0"/>
      <w:spacing w:after="0" w:line="257" w:lineRule="exact"/>
      <w:ind w:hanging="1402"/>
    </w:pPr>
    <w:rPr>
      <w:rFonts w:ascii="Arial" w:hAnsi="Arial"/>
      <w:sz w:val="24"/>
      <w:szCs w:val="24"/>
    </w:rPr>
  </w:style>
  <w:style w:type="paragraph" w:customStyle="1" w:styleId="numberpositive">
    <w:name w:val="number positive"/>
    <w:basedOn w:val="Normal"/>
    <w:link w:val="numberpositiveChar"/>
    <w:rsid w:val="00CA6F0A"/>
    <w:pPr>
      <w:overflowPunct w:val="0"/>
      <w:autoSpaceDE w:val="0"/>
      <w:autoSpaceDN w:val="0"/>
      <w:adjustRightInd w:val="0"/>
      <w:spacing w:after="0" w:line="260" w:lineRule="atLeast"/>
      <w:ind w:right="62"/>
      <w:jc w:val="right"/>
      <w:textAlignment w:val="baseline"/>
    </w:pPr>
    <w:rPr>
      <w:rFonts w:ascii="Times New Roman" w:hAnsi="Times New Roman"/>
      <w:sz w:val="20"/>
      <w:szCs w:val="20"/>
      <w:lang w:val="en-GB"/>
    </w:rPr>
  </w:style>
  <w:style w:type="character" w:customStyle="1" w:styleId="numberpositiveChar">
    <w:name w:val="number positive Char"/>
    <w:link w:val="numberpositive"/>
    <w:locked/>
    <w:rsid w:val="00CA6F0A"/>
    <w:rPr>
      <w:rFonts w:ascii="Times New Roman" w:eastAsia="Times New Roman" w:hAnsi="Times New Roman" w:cs="Times New Roman"/>
      <w:sz w:val="20"/>
      <w:szCs w:val="20"/>
      <w:lang w:val="en-GB"/>
    </w:rPr>
  </w:style>
  <w:style w:type="paragraph" w:customStyle="1" w:styleId="euroheading">
    <w:name w:val="euro heading"/>
    <w:basedOn w:val="Normal"/>
    <w:rsid w:val="00CA6F0A"/>
    <w:pPr>
      <w:overflowPunct w:val="0"/>
      <w:autoSpaceDE w:val="0"/>
      <w:autoSpaceDN w:val="0"/>
      <w:adjustRightInd w:val="0"/>
      <w:spacing w:after="0" w:line="260" w:lineRule="atLeast"/>
      <w:jc w:val="both"/>
      <w:textAlignment w:val="baseline"/>
    </w:pPr>
    <w:rPr>
      <w:rFonts w:ascii="Times New Roman" w:hAnsi="Times New Roman"/>
      <w:i/>
      <w:iCs/>
      <w:sz w:val="18"/>
      <w:szCs w:val="18"/>
      <w:lang w:val="en-GB"/>
    </w:rPr>
  </w:style>
  <w:style w:type="paragraph" w:customStyle="1" w:styleId="Style66">
    <w:name w:val="Style66"/>
    <w:basedOn w:val="Normal"/>
    <w:rsid w:val="00CA6F0A"/>
    <w:pPr>
      <w:widowControl w:val="0"/>
      <w:autoSpaceDE w:val="0"/>
      <w:autoSpaceDN w:val="0"/>
      <w:adjustRightInd w:val="0"/>
      <w:spacing w:after="0" w:line="259" w:lineRule="exact"/>
      <w:ind w:firstLine="1526"/>
    </w:pPr>
    <w:rPr>
      <w:rFonts w:ascii="Arial" w:hAnsi="Arial"/>
      <w:sz w:val="24"/>
      <w:szCs w:val="24"/>
    </w:rPr>
  </w:style>
  <w:style w:type="character" w:customStyle="1" w:styleId="FontStyle153">
    <w:name w:val="Font Style153"/>
    <w:rsid w:val="00CA6F0A"/>
    <w:rPr>
      <w:rFonts w:ascii="Arial" w:hAnsi="Arial" w:cs="Arial"/>
      <w:i/>
      <w:iCs/>
      <w:sz w:val="18"/>
      <w:szCs w:val="18"/>
    </w:rPr>
  </w:style>
  <w:style w:type="paragraph" w:customStyle="1" w:styleId="Style47">
    <w:name w:val="Style47"/>
    <w:basedOn w:val="Normal"/>
    <w:rsid w:val="00CA6F0A"/>
    <w:pPr>
      <w:widowControl w:val="0"/>
      <w:autoSpaceDE w:val="0"/>
      <w:autoSpaceDN w:val="0"/>
      <w:adjustRightInd w:val="0"/>
      <w:spacing w:after="0" w:line="240" w:lineRule="auto"/>
    </w:pPr>
    <w:rPr>
      <w:rFonts w:ascii="Arial" w:hAnsi="Arial"/>
      <w:sz w:val="24"/>
      <w:szCs w:val="24"/>
    </w:rPr>
  </w:style>
  <w:style w:type="paragraph" w:customStyle="1" w:styleId="MediumGrid21">
    <w:name w:val="Medium Grid 21"/>
    <w:uiPriority w:val="1"/>
    <w:qFormat/>
    <w:rsid w:val="00CA6F0A"/>
    <w:rPr>
      <w:sz w:val="22"/>
      <w:szCs w:val="22"/>
    </w:rPr>
  </w:style>
  <w:style w:type="paragraph" w:customStyle="1" w:styleId="Pa18">
    <w:name w:val="Pa18"/>
    <w:basedOn w:val="Default"/>
    <w:next w:val="Default"/>
    <w:uiPriority w:val="99"/>
    <w:rsid w:val="008812D7"/>
    <w:pPr>
      <w:widowControl/>
      <w:spacing w:line="191" w:lineRule="atLeast"/>
    </w:pPr>
    <w:rPr>
      <w:rFonts w:ascii="MBVWR C+ Univers LT Std" w:hAnsi="MBVWR C+ Univers LT Std" w:cs="Times New Roman"/>
      <w:color w:val="auto"/>
    </w:rPr>
  </w:style>
  <w:style w:type="character" w:styleId="CommentReference">
    <w:name w:val="annotation reference"/>
    <w:uiPriority w:val="99"/>
    <w:semiHidden/>
    <w:unhideWhenUsed/>
    <w:rsid w:val="000831E9"/>
    <w:rPr>
      <w:sz w:val="16"/>
      <w:szCs w:val="16"/>
    </w:rPr>
  </w:style>
  <w:style w:type="paragraph" w:styleId="CommentText">
    <w:name w:val="annotation text"/>
    <w:basedOn w:val="Normal"/>
    <w:link w:val="CommentTextChar"/>
    <w:uiPriority w:val="99"/>
    <w:semiHidden/>
    <w:unhideWhenUsed/>
    <w:rsid w:val="000831E9"/>
    <w:pPr>
      <w:spacing w:line="240" w:lineRule="auto"/>
    </w:pPr>
    <w:rPr>
      <w:sz w:val="20"/>
      <w:szCs w:val="20"/>
    </w:rPr>
  </w:style>
  <w:style w:type="character" w:customStyle="1" w:styleId="CommentTextChar">
    <w:name w:val="Comment Text Char"/>
    <w:link w:val="CommentText"/>
    <w:uiPriority w:val="99"/>
    <w:semiHidden/>
    <w:rsid w:val="000831E9"/>
    <w:rPr>
      <w:sz w:val="20"/>
      <w:szCs w:val="20"/>
    </w:rPr>
  </w:style>
  <w:style w:type="paragraph" w:styleId="CommentSubject">
    <w:name w:val="annotation subject"/>
    <w:basedOn w:val="CommentText"/>
    <w:next w:val="CommentText"/>
    <w:link w:val="CommentSubjectChar"/>
    <w:uiPriority w:val="99"/>
    <w:semiHidden/>
    <w:unhideWhenUsed/>
    <w:rsid w:val="000831E9"/>
    <w:rPr>
      <w:b/>
      <w:bCs/>
    </w:rPr>
  </w:style>
  <w:style w:type="character" w:customStyle="1" w:styleId="CommentSubjectChar">
    <w:name w:val="Comment Subject Char"/>
    <w:link w:val="CommentSubject"/>
    <w:uiPriority w:val="99"/>
    <w:semiHidden/>
    <w:rsid w:val="000831E9"/>
    <w:rPr>
      <w:b/>
      <w:bCs/>
      <w:sz w:val="20"/>
      <w:szCs w:val="20"/>
    </w:rPr>
  </w:style>
  <w:style w:type="numbering" w:customStyle="1" w:styleId="Style1">
    <w:name w:val="Style1"/>
    <w:uiPriority w:val="99"/>
    <w:rsid w:val="001773B7"/>
    <w:pPr>
      <w:numPr>
        <w:numId w:val="18"/>
      </w:numPr>
    </w:pPr>
  </w:style>
  <w:style w:type="paragraph" w:styleId="Revision">
    <w:name w:val="Revision"/>
    <w:hidden/>
    <w:uiPriority w:val="99"/>
    <w:semiHidden/>
    <w:rsid w:val="00290C74"/>
    <w:rPr>
      <w:sz w:val="22"/>
      <w:szCs w:val="22"/>
    </w:rPr>
  </w:style>
  <w:style w:type="paragraph" w:styleId="ListParagraph">
    <w:name w:val="List Paragraph"/>
    <w:basedOn w:val="Normal"/>
    <w:uiPriority w:val="34"/>
    <w:qFormat/>
    <w:rsid w:val="00DD09E2"/>
    <w:pPr>
      <w:spacing w:after="0" w:line="240" w:lineRule="auto"/>
      <w:ind w:left="720"/>
      <w:contextualSpacing/>
    </w:pPr>
    <w:rPr>
      <w:rFonts w:ascii="Times New Roman" w:eastAsia="Calibri" w:hAnsi="Times New Roman"/>
      <w:sz w:val="24"/>
      <w:szCs w:val="24"/>
    </w:rPr>
  </w:style>
  <w:style w:type="paragraph" w:styleId="BodyText2">
    <w:name w:val="Body Text 2"/>
    <w:basedOn w:val="Normal"/>
    <w:link w:val="BodyText2Char"/>
    <w:uiPriority w:val="99"/>
    <w:semiHidden/>
    <w:unhideWhenUsed/>
    <w:rsid w:val="00123651"/>
    <w:pPr>
      <w:spacing w:after="120" w:line="480" w:lineRule="auto"/>
    </w:pPr>
  </w:style>
  <w:style w:type="character" w:customStyle="1" w:styleId="BodyText2Char">
    <w:name w:val="Body Text 2 Char"/>
    <w:basedOn w:val="DefaultParagraphFont"/>
    <w:link w:val="BodyText2"/>
    <w:uiPriority w:val="99"/>
    <w:semiHidden/>
    <w:rsid w:val="00123651"/>
    <w:rPr>
      <w:sz w:val="22"/>
      <w:szCs w:val="22"/>
    </w:rPr>
  </w:style>
  <w:style w:type="paragraph" w:styleId="BodyText3">
    <w:name w:val="Body Text 3"/>
    <w:basedOn w:val="Normal"/>
    <w:link w:val="BodyText3Char"/>
    <w:uiPriority w:val="99"/>
    <w:semiHidden/>
    <w:unhideWhenUsed/>
    <w:rsid w:val="00123651"/>
    <w:pPr>
      <w:spacing w:after="120"/>
    </w:pPr>
    <w:rPr>
      <w:sz w:val="16"/>
      <w:szCs w:val="16"/>
    </w:rPr>
  </w:style>
  <w:style w:type="character" w:customStyle="1" w:styleId="BodyText3Char">
    <w:name w:val="Body Text 3 Char"/>
    <w:basedOn w:val="DefaultParagraphFont"/>
    <w:link w:val="BodyText3"/>
    <w:uiPriority w:val="99"/>
    <w:semiHidden/>
    <w:rsid w:val="001236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2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PMGGlobalActiveStatus xmlns="http://schemas.microsoft.com/sharepoint/v3/fields">1</KPMGGlobalActiveStatus>
    <Expires xmlns="http://schemas.microsoft.com/sharepoint/v3" xsi:nil="true"/>
    <KPMGGlobalPrimaryOwner xmlns="http://schemas.microsoft.com/sharepoint/v3/fields" xsi:nil="true"/>
    <KPMGGlobalBusinessStrategy xmlns="http://schemas.microsoft.com/sharepoint/v3/fields" xsi:nil="true"/>
    <KPMGGlobalTechnology xmlns="http://schemas.microsoft.com/sharepoint/v3/fields" xsi:nil="true"/>
    <Category xmlns="8ad648f9-1090-4aee-8fcf-2305bbf3597a">Illustrative Financial Statements</Category>
    <KPMGGlobalDocumentCategory xmlns="http://schemas.microsoft.com/sharepoint/v3/fields" xsi:nil="true"/>
    <_x003a_ xmlns="8ad648f9-1090-4aee-8fcf-2305bbf3597a">
      <Value>Albania</Value>
      <Value>Bulgaria</Value>
      <Value>Kosovo</Value>
      <Value>Macedonia</Value>
    </_x003a_>
    <KPMGMW3Language xmlns="http://schemas.microsoft.com/sharepoint/v3">English</KPMGMW3Language>
    <KPMGGlobalRegion xmlns="http://schemas.microsoft.com/sharepoint/v3/fields" xsi:nil="true"/>
    <KPMGGlobalAbstract xmlns="http://schemas.microsoft.com/sharepoint/v3/fields" xsi:nil="true"/>
    <KPMGMW3IndustrySectorSubSectorSelection xmlns="http://schemas.microsoft.com/sharepoint/v3/fields" xsi:nil="true"/>
    <KPMGGlobalDocumentTypeSelection xmlns="http://schemas.microsoft.com/sharepoint/v3/fields" xsi:nil="true"/>
    <KPMGMW3FunctionSelection xmlns="http://schemas.microsoft.com/sharepoint/v3/fields">;#Audit;;;#Audit;;;#;#</KPMGMW3FunctionSelection>
    <KPMGGlobalRiskReviewDate xmlns="http://schemas.microsoft.com/sharepoint/v3/fields">2015-01-15T00:00:00Z</KPMGGlobalRiskReviewDate>
    <KPMGGlobalCoverage xmlns="http://schemas.microsoft.com/sharepoint/v3/fields">0</KPMGGlobalCoverage>
    <l xmlns="8ad648f9-1090-4aee-8fcf-2305bbf3597a">2016</l>
    <KPMGGlobalAudienceLevel xmlns="http://schemas.microsoft.com/sharepoint/v3/fields" xsi:nil="true"/>
    <KPMGGlobalMediaType xmlns="http://schemas.microsoft.com/sharepoint/v3/fields" xsi:nil="true"/>
    <KPMGGlobalBusinessProcess xmlns="http://schemas.microsoft.com/sharepoint/v3/fields" xsi:nil="true"/>
    <KPMGMW3DocumentType xmlns="http://schemas.microsoft.com/sharepoint/v3/fields">None Selected</KPMGMW3DocumentType>
    <KPMGGlobalContentUse xmlns="http://schemas.microsoft.com/sharepoint/v3/fields" xsi:nil="true"/>
    <KPMGGlobalDocumentType xmlns="http://schemas.microsoft.com/sharepoint/v3/fields" xsi:nil="true"/>
    <KPMGMW3Geography xmlns="http://schemas.microsoft.com/sharepoint/v3">;#Central and Eastern Europe;#</KPMGMW3Geography>
    <KPMGGlobalPublicationDate xmlns="http://schemas.microsoft.com/sharepoint/v3/fields">2015-01-15T00:00:00Z</KPMGGlobalPublicationDate>
    <KPMGGlobalCountry xmlns="http://schemas.microsoft.com/sharepoint/v3/fields" xsi:nil="true"/>
    <KPMGGlobalRiskReviewEntity xmlns="http://schemas.microsoft.com/sharepoint/v3/fields" xsi:nil="true"/>
    <KPMGGlobalRiskReviewer xmlns="http://schemas.microsoft.com/sharepoint/v3/fields" xsi:nil="true"/>
  </documentManagement>
</p:properties>
</file>

<file path=customXml/item2.xml><?xml version="1.0" encoding="utf-8"?>
<?mso-contentType ?>
<spe:Receivers xmlns:spe="http://schemas.microsoft.com/sharepoint/events">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KPMG Microweb 3 Document" ma:contentTypeID="0x01010D00E881003DB0007C41B5BA85E7330BD57E" ma:contentTypeVersion="4" ma:contentTypeDescription="KPMG Microweb 3 Document" ma:contentTypeScope="" ma:versionID="643eb32025fab40c8fa1f9c26510c332">
  <xsd:schema xmlns:xsd="http://www.w3.org/2001/XMLSchema" xmlns:p="http://schemas.microsoft.com/office/2006/metadata/properties" xmlns:ns1="http://schemas.microsoft.com/sharepoint/v3" xmlns:ns2="http://schemas.microsoft.com/sharepoint/v3/fields" xmlns:ns3="8ad648f9-1090-4aee-8fcf-2305bbf3597a" targetNamespace="http://schemas.microsoft.com/office/2006/metadata/properties" ma:root="true" ma:fieldsID="4cba7884ee8eca821eabc90bec1f7f71" ns1:_="" ns2:_="" ns3:_="">
    <xsd:import namespace="http://schemas.microsoft.com/sharepoint/v3"/>
    <xsd:import namespace="http://schemas.microsoft.com/sharepoint/v3/fields"/>
    <xsd:import namespace="8ad648f9-1090-4aee-8fcf-2305bbf3597a"/>
    <xsd:element name="properties">
      <xsd:complexType>
        <xsd:sequence>
          <xsd:element name="documentManagement">
            <xsd:complexType>
              <xsd:all>
                <xsd:element ref="ns2:KPMGGlobalAbstract" minOccurs="0"/>
                <xsd:element ref="ns2:KPMGGlobalDocumentTypeSelection" minOccurs="0"/>
                <xsd:element ref="ns2:KPMGGlobalDocumentCategory" minOccurs="0"/>
                <xsd:element ref="ns2:KPMGGlobalDocumentType" minOccurs="0"/>
                <xsd:element ref="ns2:KPMGMW3DocumentType" minOccurs="0"/>
                <xsd:element ref="ns2:KPMGGlobalMediaType" minOccurs="0"/>
                <xsd:element ref="ns1:KPMGMW3Language"/>
                <xsd:element ref="ns2:KPMGGlobalCoverage" minOccurs="0"/>
                <xsd:element ref="ns2:KPMGGlobalRegion" minOccurs="0"/>
                <xsd:element ref="ns2:KPMGGlobalCountry" minOccurs="0"/>
                <xsd:element ref="ns1:KPMGMW3Geography" minOccurs="0"/>
                <xsd:element ref="ns2:KPMGMW3FunctionSelection" minOccurs="0"/>
                <xsd:element ref="ns2:KPMGMW3Function" minOccurs="0"/>
                <xsd:element ref="ns2:KPMGMW3Service" minOccurs="0"/>
                <xsd:element ref="ns2:KPMGMW3SubService" minOccurs="0"/>
                <xsd:element ref="ns2:KPMGMW3IndustrySectorSubSectorSelection" minOccurs="0"/>
                <xsd:element ref="ns2:KPMGMW3Sector" minOccurs="0"/>
                <xsd:element ref="ns2:KPMGMW3SubSector" minOccurs="0"/>
                <xsd:element ref="ns2:KPMGGlobalAudienceLevel" minOccurs="0"/>
                <xsd:element ref="ns2:KPMGGlobalContentUse" minOccurs="0"/>
                <xsd:element ref="ns2:KPMGGlobalBusinessStrategy" minOccurs="0"/>
                <xsd:element ref="ns2:KPMGGlobalBusinessProcess" minOccurs="0"/>
                <xsd:element ref="ns2:KPMGGlobalTechnology" minOccurs="0"/>
                <xsd:element ref="ns2:KPMGGlobalActiveStatus" minOccurs="0"/>
                <xsd:element ref="ns2:KPMGGlobalPrimaryOwner" minOccurs="0"/>
                <xsd:element ref="ns2:KPMGGlobalPublicationDate" minOccurs="0"/>
                <xsd:element ref="ns1:Expires" minOccurs="0"/>
                <xsd:element ref="ns2:KPMGGlobalRiskReviewEntity" minOccurs="0"/>
                <xsd:element ref="ns2:KPMGGlobalRiskReviewDate" minOccurs="0"/>
                <xsd:element ref="ns2:KPMGGlobalRiskReviewer" minOccurs="0"/>
                <xsd:element ref="ns3:_x003a_" minOccurs="0"/>
                <xsd:element ref="ns3:l" minOccurs="0"/>
                <xsd:element ref="ns3: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KPMGMW3Language" ma:index="12" ma:displayName="Language" ma:description="The Primary Language in which the content is written or spoken" ma:internalName="KPMGMW3Language" ma:readOnly="false">
      <xsd:simpleType>
        <xsd:restriction base="dms:Unknown"/>
      </xsd:simpleType>
    </xsd:element>
    <xsd:element name="KPMGMW3Geography" ma:index="16" nillable="true" ma:displayName="Geographic coverage" ma:description="NOTE: old field being replaced by 'Region' and 'Country'" ma:internalName="KPMGMW3Geography" ma:readOnly="false">
      <xsd:simpleType>
        <xsd:restriction base="dms:Unknown"/>
      </xsd:simpleType>
    </xsd:element>
    <xsd:element name="Expires" ma:index="32" nillable="true" ma:displayName="Expiry Date" ma:description="Identifies the date the content is targeted for review or removal" ma:format="DateOnly" ma:internalName="Expires" ma:readOnly="fals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KPMGGlobalAbstract" ma:index="5" nillable="true" ma:displayName="Abstract" ma:description="A brief description of the content introducing it to users prior to opening; helps users judge relevance (recommend 25-35 words)" ma:internalName="KPMGGlobalAbstract" ma:readOnly="false">
      <xsd:simpleType>
        <xsd:restriction base="dms:Unknown"/>
      </xsd:simpleType>
    </xsd:element>
    <xsd:element name="KPMGGlobalDocumentTypeSelection" ma:index="7" nillable="true" ma:displayName="Document Category / Document Type V2" ma:description="Two-level classifier of the content based on its role in a business process" ma:internalName="KPMGGlobalDocumentTypeSelection" ma:readOnly="false">
      <xsd:simpleType>
        <xsd:restriction base="dms:Unknown"/>
      </xsd:simpleType>
    </xsd:element>
    <xsd:element name="KPMGGlobalDocumentCategory" ma:index="8" nillable="true" ma:displayName="Document Category" ma:description="Identifies and classifies the resource at a high level based on its role in a business process." ma:internalName="KPMGGlobalDocumentCategory" ma:readOnly="false">
      <xsd:simpleType>
        <xsd:restriction base="dms:Unknown"/>
      </xsd:simpleType>
    </xsd:element>
    <xsd:element name="KPMGGlobalDocumentType" ma:index="9" nillable="true" ma:displayName="Document Type V2" ma:description="A child of document Category, it further describes and classifies document in more detail." ma:internalName="KPMGGlobalDocumentType" ma:readOnly="false">
      <xsd:simpleType>
        <xsd:restriction base="dms:Unknown"/>
      </xsd:simpleType>
    </xsd:element>
    <xsd:element name="KPMGMW3DocumentType" ma:index="10" nillable="true" ma:displayName="Document Type" ma:description="NOTE: old field being replaced by 'Document Category / Document Type'" ma:internalName="KPMGMW3DocumentType" ma:readOnly="false">
      <xsd:simpleType>
        <xsd:restriction base="dms:Unknown"/>
      </xsd:simpleType>
    </xsd:element>
    <xsd:element name="KPMGGlobalMediaType" ma:index="11" nillable="true" ma:displayName="Media Type" ma:description="Format of the content" ma:internalName="KPMGGlobalMediaType" ma:readOnly="false">
      <xsd:simpleType>
        <xsd:restriction base="dms:Unknown"/>
      </xsd:simpleType>
    </xsd:element>
    <xsd:element name="KPMGGlobalCoverage" ma:index="13" nillable="true" ma:displayName="Global Coverage" ma:description="Click ‘yes’ if content has global applicability or use in more than one country" ma:internalName="KPMGGlobalCoverage" ma:readOnly="false">
      <xsd:simpleType>
        <xsd:restriction base="dms:Unknown"/>
      </xsd:simpleType>
    </xsd:element>
    <xsd:element name="KPMGGlobalRegion" ma:index="14" nillable="true" ma:displayName="Region" ma:description="Identifies the Global Region(s) for which the content is applicable" ma:internalName="KPMGGlobalRegion" ma:readOnly="false">
      <xsd:simpleType>
        <xsd:restriction base="dms:Unknown"/>
      </xsd:simpleType>
    </xsd:element>
    <xsd:element name="KPMGGlobalCountry" ma:index="15" nillable="true" ma:displayName="Global Country" ma:description="Identifies the Country who owns the content and where it was created" ma:internalName="KPMGGlobalCountry" ma:readOnly="false">
      <xsd:simpleType>
        <xsd:restriction base="dms:Unknown"/>
      </xsd:simpleType>
    </xsd:element>
    <xsd:element name="KPMGMW3FunctionSelection" ma:index="17" nillable="true" ma:displayName="Function/Service/SubService Selection" ma:description="Identifies the KPMG Function/Service/Subservice for which the content is applicable" ma:internalName="KPMGMW3FunctionSelection">
      <xsd:simpleType>
        <xsd:restriction base="dms:Unknown"/>
      </xsd:simpleType>
    </xsd:element>
    <xsd:element name="KPMGMW3Function" ma:index="18" nillable="true" ma:displayName="Function" ma:description="Function" ma:internalName="KPMGMW3Function" ma:readOnly="true">
      <xsd:simpleType>
        <xsd:restriction base="dms:Text"/>
      </xsd:simpleType>
    </xsd:element>
    <xsd:element name="KPMGMW3Service" ma:index="19" nillable="true" ma:displayName="Service" ma:description="Identifies the KPMG service which is discussed or targeted in this folder" ma:internalName="KPMGMW3Service" ma:readOnly="true">
      <xsd:simpleType>
        <xsd:restriction base="dms:Text"/>
      </xsd:simpleType>
    </xsd:element>
    <xsd:element name="KPMGMW3SubService" ma:index="20" nillable="true" ma:displayName="Sub Service" ma:description="Identifies the KPMG sub service which is discussed or targeted in this folder" ma:internalName="KPMGMW3SubService" ma:readOnly="true">
      <xsd:simpleType>
        <xsd:restriction base="dms:Text"/>
      </xsd:simpleType>
    </xsd:element>
    <xsd:element name="KPMGMW3IndustrySectorSubSectorSelection" ma:index="21" nillable="true" ma:displayName="Industry Sector/SubSector Selection" ma:description="Classifies the Markets Industry/Sector for which the content is applicable" ma:internalName="KPMGMW3IndustrySectorSubSectorSelection">
      <xsd:simpleType>
        <xsd:restriction base="dms:Unknown"/>
      </xsd:simpleType>
    </xsd:element>
    <xsd:element name="KPMGMW3Sector" ma:index="22" nillable="true" ma:displayName="Sector" ma:description="Sector" ma:internalName="KPMGMW3Sector" ma:readOnly="true">
      <xsd:simpleType>
        <xsd:restriction base="dms:Text"/>
      </xsd:simpleType>
    </xsd:element>
    <xsd:element name="KPMGMW3SubSector" ma:index="23" nillable="true" ma:displayName="Sub Sector" ma:description="Sub Sector" ma:internalName="KPMGMW3SubSector" ma:readOnly="true">
      <xsd:simpleType>
        <xsd:restriction base="dms:Text"/>
      </xsd:simpleType>
    </xsd:element>
    <xsd:element name="KPMGGlobalAudienceLevel" ma:index="24" nillable="true" ma:displayName="Audience Level" ma:description="All, Partner, Sr. Mgr., Mgr., Associate" ma:internalName="KPMGGlobalAudienceLevel" ma:readOnly="false">
      <xsd:simpleType>
        <xsd:restriction base="dms:Unknown"/>
      </xsd:simpleType>
    </xsd:element>
    <xsd:element name="KPMGGlobalContentUse" ma:index="25" nillable="true" ma:displayName="Content Use" ma:description="Select 'Internal' for internal use only or 'Internal/External' for public use" ma:internalName="KPMGGlobalContentUse" ma:readOnly="false">
      <xsd:simpleType>
        <xsd:restriction base="dms:Unknown"/>
      </xsd:simpleType>
    </xsd:element>
    <xsd:element name="KPMGGlobalBusinessStrategy" ma:index="26" nillable="true" ma:displayName="Business Strategy" ma:description="The plans, approaches or policies the business has designed to meet their aims and objectives" ma:internalName="KPMGGlobalBusinessStrategy" ma:readOnly="false">
      <xsd:simpleType>
        <xsd:restriction base="dms:Unknown"/>
      </xsd:simpleType>
    </xsd:element>
    <xsd:element name="KPMGGlobalBusinessProcess" ma:index="27" nillable="true" ma:displayName="Business Process" ma:description="Standard activities performed by a client to achieve their business objectives" ma:internalName="KPMGGlobalBusinessProcess" ma:readOnly="false">
      <xsd:simpleType>
        <xsd:restriction base="dms:Unknown"/>
      </xsd:simpleType>
    </xsd:element>
    <xsd:element name="KPMGGlobalTechnology" ma:index="28" nillable="true" ma:displayName="Technology" ma:description="System, application, platform or other technology component which is relevant to the content" ma:internalName="KPMGGlobalTechnology" ma:readOnly="false">
      <xsd:simpleType>
        <xsd:restriction base="dms:Unknown"/>
      </xsd:simpleType>
    </xsd:element>
    <xsd:element name="KPMGGlobalActiveStatus" ma:index="29" nillable="true" ma:displayName="Active Status" ma:default="1" ma:description="Check to make content viewable and searchable; useful for maintaining freshness of site" ma:internalName="KPMGGlobalActiveStatus" ma:readOnly="false">
      <xsd:simpleType>
        <xsd:restriction base="dms:Unknown"/>
      </xsd:simpleType>
    </xsd:element>
    <xsd:element name="KPMGGlobalPrimaryOwner" ma:index="30" nillable="true" ma:displayName="Primary Owner" ma:description="Identifies the function, industry, business group which owns the content" ma:internalName="KPMGGlobalPrimaryOwner" ma:readOnly="false">
      <xsd:simpleType>
        <xsd:restriction base="dms:Unknown"/>
      </xsd:simpleType>
    </xsd:element>
    <xsd:element name="KPMGGlobalPublicationDate" ma:index="31" nillable="true" ma:displayName="Publication Date" ma:description="Date the content was published" ma:format="DateOnly" ma:internalName="KPMGGlobalPublicationDate" ma:readOnly="false">
      <xsd:simpleType>
        <xsd:restriction base="dms:Unknown"/>
      </xsd:simpleType>
    </xsd:element>
    <xsd:element name="KPMGGlobalRiskReviewEntity" ma:index="33" nillable="true" ma:displayName="Risk Review Entity" ma:description="If the content requires a Risk Review, this element shows the entity that reviewed the content for risk exposure" ma:internalName="KPMGGlobalRiskReviewEntity" ma:readOnly="false">
      <xsd:simpleType>
        <xsd:restriction base="dms:Unknown"/>
      </xsd:simpleType>
    </xsd:element>
    <xsd:element name="KPMGGlobalRiskReviewDate" ma:index="34" nillable="true" ma:displayName="Risk Review Date" ma:description="Date the content was reviewed for risk exposure" ma:format="DateOnly" ma:internalName="KPMGGlobalRiskReviewDate" ma:readOnly="false">
      <xsd:simpleType>
        <xsd:restriction base="dms:Unknown"/>
      </xsd:simpleType>
    </xsd:element>
    <xsd:element name="KPMGGlobalRiskReviewer" ma:index="35" nillable="true" ma:displayName="Risk Reviewer" ma:description="Name of the person who reviewed the content for risk exposure" ma:list="UserInfo" ma:internalName="KPMGGlobalRiskReviewer" ma:readOnly="false" ma:showField="ImnName">
      <xsd:simpleType>
        <xsd:restriction base="dms:Unknown"/>
      </xsd:simpleType>
    </xsd:element>
  </xsd:schema>
  <xsd:schema xmlns:xsd="http://www.w3.org/2001/XMLSchema" xmlns:dms="http://schemas.microsoft.com/office/2006/documentManagement/types" targetNamespace="8ad648f9-1090-4aee-8fcf-2305bbf3597a" elementFormDefault="qualified">
    <xsd:import namespace="http://schemas.microsoft.com/office/2006/documentManagement/types"/>
    <xsd:element name="_x003a_" ma:index="37" nillable="true" ma:displayName=":" ma:default="Albania" ma:internalName="_x003a_">
      <xsd:complexType>
        <xsd:complexContent>
          <xsd:extension base="dms:MultiChoice">
            <xsd:sequence>
              <xsd:element name="Value" maxOccurs="unbounded" minOccurs="0" nillable="true">
                <xsd:simpleType>
                  <xsd:restriction base="dms:Choice">
                    <xsd:enumeration value="Albania"/>
                    <xsd:enumeration value="Bulgaria"/>
                    <xsd:enumeration value="Kosovo"/>
                    <xsd:enumeration value="Macedonia"/>
                  </xsd:restriction>
                </xsd:simpleType>
              </xsd:element>
            </xsd:sequence>
          </xsd:extension>
        </xsd:complexContent>
      </xsd:complexType>
    </xsd:element>
    <xsd:element name="l" ma:index="39" nillable="true" ma:displayName="l" ma:default="Agreed upon procedures" ma:format="RadioButtons" ma:internalName="l">
      <xsd:simpleType>
        <xsd:union memberTypes="dms:Text">
          <xsd:simpleType>
            <xsd:restriction base="dms:Choice">
              <xsd:enumeration value="Agreed upon procedures"/>
              <xsd:enumeration value="ISRM"/>
              <xsd:enumeration value="Modified reports and Emphasis of Matters"/>
              <xsd:enumeration value="Review reports"/>
              <xsd:enumeration value="Unmodified audit reports"/>
              <xsd:enumeration value="Оther audit assignments"/>
              <xsd:enumeration value="BG"/>
              <xsd:enumeration value="ENG"/>
              <xsd:enumeration value="Documents"/>
              <xsd:enumeration value="Links"/>
            </xsd:restriction>
          </xsd:simpleType>
        </xsd:union>
      </xsd:simpleType>
    </xsd:element>
    <xsd:element name="Category" ma:index="43" nillable="true" ma:displayName="Category" ma:default="Audit Reports" ma:format="Dropdown" ma:internalName="Category">
      <xsd:simpleType>
        <xsd:restriction base="dms:Choice">
          <xsd:enumeration value="Audit Reports"/>
          <xsd:enumeration value="Illustrative Financial Statements"/>
          <xsd:enumeration value="Representation Letters"/>
          <xsd:enumeration value="Management Letters"/>
          <xsd:enumeration value="Smaller Entity Workflow"/>
          <xsd:enumeration value="Standard Letters and Confirmations"/>
          <xsd:enumeration value="Templates for Initial Audit Engagements"/>
          <xsd:enumeration value="Winning Business"/>
          <xsd:enumeration value="Working papers templates"/>
          <xsd:enumeration value="Other"/>
          <xsd:enumeration value="Other templates"/>
          <xsd:enumeration value="Audit independence requirement"/>
          <xsd:enumeration value="Engagement 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4" ma:displayName="Author"/>
        <xsd:element ref="dcterms:created" minOccurs="0" maxOccurs="1"/>
        <xsd:element ref="dc:identifier" minOccurs="0" maxOccurs="1"/>
        <xsd:element name="contentType" minOccurs="0" maxOccurs="1" type="xsd:string" ma:index="0" ma:displayName="Content Type"/>
        <xsd:element ref="dc:title" maxOccurs="1" ma:index="2" ma:displayName="Title"/>
        <xsd:element ref="dc:subject" minOccurs="0" maxOccurs="1"/>
        <xsd:element ref="dc:description" minOccurs="0" maxOccurs="1" ma:index="36" ma:displayName="Comments"/>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GlobalDocumentLibraryForm</Display>
  <Edit>GlobalDocumentLibraryForm</Edit>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F779-ADF7-4895-BFCA-E08CEFDDC29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8ad648f9-1090-4aee-8fcf-2305bbf3597a"/>
  </ds:schemaRefs>
</ds:datastoreItem>
</file>

<file path=customXml/itemProps2.xml><?xml version="1.0" encoding="utf-8"?>
<ds:datastoreItem xmlns:ds="http://schemas.openxmlformats.org/officeDocument/2006/customXml" ds:itemID="{2C2240AF-DC02-4AAF-8F3C-03BC4E62E112}">
  <ds:schemaRefs>
    <ds:schemaRef ds:uri="http://schemas.microsoft.com/sharepoint/events"/>
  </ds:schemaRefs>
</ds:datastoreItem>
</file>

<file path=customXml/itemProps3.xml><?xml version="1.0" encoding="utf-8"?>
<ds:datastoreItem xmlns:ds="http://schemas.openxmlformats.org/officeDocument/2006/customXml" ds:itemID="{E778BA95-1C1A-40FE-A998-45BB8D5BD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ad648f9-1090-4aee-8fcf-2305bbf3597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8E2C21-3CF8-4713-8138-C6C1D0B84A1D}">
  <ds:schemaRefs>
    <ds:schemaRef ds:uri="http://schemas.microsoft.com/office/2006/metadata/longProperties"/>
  </ds:schemaRefs>
</ds:datastoreItem>
</file>

<file path=customXml/itemProps5.xml><?xml version="1.0" encoding="utf-8"?>
<ds:datastoreItem xmlns:ds="http://schemas.openxmlformats.org/officeDocument/2006/customXml" ds:itemID="{8B3D577C-1773-4591-9D73-D71C99075B95}">
  <ds:schemaRefs>
    <ds:schemaRef ds:uri="http://schemas.microsoft.com/sharepoint/v3/contenttype/forms"/>
  </ds:schemaRefs>
</ds:datastoreItem>
</file>

<file path=customXml/itemProps6.xml><?xml version="1.0" encoding="utf-8"?>
<ds:datastoreItem xmlns:ds="http://schemas.openxmlformats.org/officeDocument/2006/customXml" ds:itemID="{0D37E41C-7395-4B16-8EAB-8A912B86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5047</Words>
  <Characters>28770</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IFS Individual 2015_Bulgarian</vt:lpstr>
      <vt:lpstr>IFS Individual 2015_Bulgarian</vt:lpstr>
    </vt:vector>
  </TitlesOfParts>
  <Company>KPMG</Company>
  <LinksUpToDate>false</LinksUpToDate>
  <CharactersWithSpaces>33750</CharactersWithSpaces>
  <SharedDoc>false</SharedDoc>
  <HLinks>
    <vt:vector size="252" baseType="variant">
      <vt:variant>
        <vt:i4>1507388</vt:i4>
      </vt:variant>
      <vt:variant>
        <vt:i4>251</vt:i4>
      </vt:variant>
      <vt:variant>
        <vt:i4>0</vt:i4>
      </vt:variant>
      <vt:variant>
        <vt:i4>5</vt:i4>
      </vt:variant>
      <vt:variant>
        <vt:lpwstr/>
      </vt:variant>
      <vt:variant>
        <vt:lpwstr>_Toc439617022</vt:lpwstr>
      </vt:variant>
      <vt:variant>
        <vt:i4>1507388</vt:i4>
      </vt:variant>
      <vt:variant>
        <vt:i4>245</vt:i4>
      </vt:variant>
      <vt:variant>
        <vt:i4>0</vt:i4>
      </vt:variant>
      <vt:variant>
        <vt:i4>5</vt:i4>
      </vt:variant>
      <vt:variant>
        <vt:lpwstr/>
      </vt:variant>
      <vt:variant>
        <vt:lpwstr>_Toc439617021</vt:lpwstr>
      </vt:variant>
      <vt:variant>
        <vt:i4>1507388</vt:i4>
      </vt:variant>
      <vt:variant>
        <vt:i4>239</vt:i4>
      </vt:variant>
      <vt:variant>
        <vt:i4>0</vt:i4>
      </vt:variant>
      <vt:variant>
        <vt:i4>5</vt:i4>
      </vt:variant>
      <vt:variant>
        <vt:lpwstr/>
      </vt:variant>
      <vt:variant>
        <vt:lpwstr>_Toc439617020</vt:lpwstr>
      </vt:variant>
      <vt:variant>
        <vt:i4>1310780</vt:i4>
      </vt:variant>
      <vt:variant>
        <vt:i4>233</vt:i4>
      </vt:variant>
      <vt:variant>
        <vt:i4>0</vt:i4>
      </vt:variant>
      <vt:variant>
        <vt:i4>5</vt:i4>
      </vt:variant>
      <vt:variant>
        <vt:lpwstr/>
      </vt:variant>
      <vt:variant>
        <vt:lpwstr>_Toc439617019</vt:lpwstr>
      </vt:variant>
      <vt:variant>
        <vt:i4>1310780</vt:i4>
      </vt:variant>
      <vt:variant>
        <vt:i4>227</vt:i4>
      </vt:variant>
      <vt:variant>
        <vt:i4>0</vt:i4>
      </vt:variant>
      <vt:variant>
        <vt:i4>5</vt:i4>
      </vt:variant>
      <vt:variant>
        <vt:lpwstr/>
      </vt:variant>
      <vt:variant>
        <vt:lpwstr>_Toc439617018</vt:lpwstr>
      </vt:variant>
      <vt:variant>
        <vt:i4>1310780</vt:i4>
      </vt:variant>
      <vt:variant>
        <vt:i4>221</vt:i4>
      </vt:variant>
      <vt:variant>
        <vt:i4>0</vt:i4>
      </vt:variant>
      <vt:variant>
        <vt:i4>5</vt:i4>
      </vt:variant>
      <vt:variant>
        <vt:lpwstr/>
      </vt:variant>
      <vt:variant>
        <vt:lpwstr>_Toc439617017</vt:lpwstr>
      </vt:variant>
      <vt:variant>
        <vt:i4>1310780</vt:i4>
      </vt:variant>
      <vt:variant>
        <vt:i4>215</vt:i4>
      </vt:variant>
      <vt:variant>
        <vt:i4>0</vt:i4>
      </vt:variant>
      <vt:variant>
        <vt:i4>5</vt:i4>
      </vt:variant>
      <vt:variant>
        <vt:lpwstr/>
      </vt:variant>
      <vt:variant>
        <vt:lpwstr>_Toc439617016</vt:lpwstr>
      </vt:variant>
      <vt:variant>
        <vt:i4>1310780</vt:i4>
      </vt:variant>
      <vt:variant>
        <vt:i4>209</vt:i4>
      </vt:variant>
      <vt:variant>
        <vt:i4>0</vt:i4>
      </vt:variant>
      <vt:variant>
        <vt:i4>5</vt:i4>
      </vt:variant>
      <vt:variant>
        <vt:lpwstr/>
      </vt:variant>
      <vt:variant>
        <vt:lpwstr>_Toc439617015</vt:lpwstr>
      </vt:variant>
      <vt:variant>
        <vt:i4>1310780</vt:i4>
      </vt:variant>
      <vt:variant>
        <vt:i4>203</vt:i4>
      </vt:variant>
      <vt:variant>
        <vt:i4>0</vt:i4>
      </vt:variant>
      <vt:variant>
        <vt:i4>5</vt:i4>
      </vt:variant>
      <vt:variant>
        <vt:lpwstr/>
      </vt:variant>
      <vt:variant>
        <vt:lpwstr>_Toc439617014</vt:lpwstr>
      </vt:variant>
      <vt:variant>
        <vt:i4>1310780</vt:i4>
      </vt:variant>
      <vt:variant>
        <vt:i4>197</vt:i4>
      </vt:variant>
      <vt:variant>
        <vt:i4>0</vt:i4>
      </vt:variant>
      <vt:variant>
        <vt:i4>5</vt:i4>
      </vt:variant>
      <vt:variant>
        <vt:lpwstr/>
      </vt:variant>
      <vt:variant>
        <vt:lpwstr>_Toc439617013</vt:lpwstr>
      </vt:variant>
      <vt:variant>
        <vt:i4>1310780</vt:i4>
      </vt:variant>
      <vt:variant>
        <vt:i4>191</vt:i4>
      </vt:variant>
      <vt:variant>
        <vt:i4>0</vt:i4>
      </vt:variant>
      <vt:variant>
        <vt:i4>5</vt:i4>
      </vt:variant>
      <vt:variant>
        <vt:lpwstr/>
      </vt:variant>
      <vt:variant>
        <vt:lpwstr>_Toc439617012</vt:lpwstr>
      </vt:variant>
      <vt:variant>
        <vt:i4>1310780</vt:i4>
      </vt:variant>
      <vt:variant>
        <vt:i4>185</vt:i4>
      </vt:variant>
      <vt:variant>
        <vt:i4>0</vt:i4>
      </vt:variant>
      <vt:variant>
        <vt:i4>5</vt:i4>
      </vt:variant>
      <vt:variant>
        <vt:lpwstr/>
      </vt:variant>
      <vt:variant>
        <vt:lpwstr>_Toc439617011</vt:lpwstr>
      </vt:variant>
      <vt:variant>
        <vt:i4>1310780</vt:i4>
      </vt:variant>
      <vt:variant>
        <vt:i4>179</vt:i4>
      </vt:variant>
      <vt:variant>
        <vt:i4>0</vt:i4>
      </vt:variant>
      <vt:variant>
        <vt:i4>5</vt:i4>
      </vt:variant>
      <vt:variant>
        <vt:lpwstr/>
      </vt:variant>
      <vt:variant>
        <vt:lpwstr>_Toc439617010</vt:lpwstr>
      </vt:variant>
      <vt:variant>
        <vt:i4>1376316</vt:i4>
      </vt:variant>
      <vt:variant>
        <vt:i4>173</vt:i4>
      </vt:variant>
      <vt:variant>
        <vt:i4>0</vt:i4>
      </vt:variant>
      <vt:variant>
        <vt:i4>5</vt:i4>
      </vt:variant>
      <vt:variant>
        <vt:lpwstr/>
      </vt:variant>
      <vt:variant>
        <vt:lpwstr>_Toc439617009</vt:lpwstr>
      </vt:variant>
      <vt:variant>
        <vt:i4>1376316</vt:i4>
      </vt:variant>
      <vt:variant>
        <vt:i4>167</vt:i4>
      </vt:variant>
      <vt:variant>
        <vt:i4>0</vt:i4>
      </vt:variant>
      <vt:variant>
        <vt:i4>5</vt:i4>
      </vt:variant>
      <vt:variant>
        <vt:lpwstr/>
      </vt:variant>
      <vt:variant>
        <vt:lpwstr>_Toc439617008</vt:lpwstr>
      </vt:variant>
      <vt:variant>
        <vt:i4>1376316</vt:i4>
      </vt:variant>
      <vt:variant>
        <vt:i4>161</vt:i4>
      </vt:variant>
      <vt:variant>
        <vt:i4>0</vt:i4>
      </vt:variant>
      <vt:variant>
        <vt:i4>5</vt:i4>
      </vt:variant>
      <vt:variant>
        <vt:lpwstr/>
      </vt:variant>
      <vt:variant>
        <vt:lpwstr>_Toc439617007</vt:lpwstr>
      </vt:variant>
      <vt:variant>
        <vt:i4>1376316</vt:i4>
      </vt:variant>
      <vt:variant>
        <vt:i4>155</vt:i4>
      </vt:variant>
      <vt:variant>
        <vt:i4>0</vt:i4>
      </vt:variant>
      <vt:variant>
        <vt:i4>5</vt:i4>
      </vt:variant>
      <vt:variant>
        <vt:lpwstr/>
      </vt:variant>
      <vt:variant>
        <vt:lpwstr>_Toc439617006</vt:lpwstr>
      </vt:variant>
      <vt:variant>
        <vt:i4>1376316</vt:i4>
      </vt:variant>
      <vt:variant>
        <vt:i4>149</vt:i4>
      </vt:variant>
      <vt:variant>
        <vt:i4>0</vt:i4>
      </vt:variant>
      <vt:variant>
        <vt:i4>5</vt:i4>
      </vt:variant>
      <vt:variant>
        <vt:lpwstr/>
      </vt:variant>
      <vt:variant>
        <vt:lpwstr>_Toc439617005</vt:lpwstr>
      </vt:variant>
      <vt:variant>
        <vt:i4>1376316</vt:i4>
      </vt:variant>
      <vt:variant>
        <vt:i4>143</vt:i4>
      </vt:variant>
      <vt:variant>
        <vt:i4>0</vt:i4>
      </vt:variant>
      <vt:variant>
        <vt:i4>5</vt:i4>
      </vt:variant>
      <vt:variant>
        <vt:lpwstr/>
      </vt:variant>
      <vt:variant>
        <vt:lpwstr>_Toc439617004</vt:lpwstr>
      </vt:variant>
      <vt:variant>
        <vt:i4>1376316</vt:i4>
      </vt:variant>
      <vt:variant>
        <vt:i4>137</vt:i4>
      </vt:variant>
      <vt:variant>
        <vt:i4>0</vt:i4>
      </vt:variant>
      <vt:variant>
        <vt:i4>5</vt:i4>
      </vt:variant>
      <vt:variant>
        <vt:lpwstr/>
      </vt:variant>
      <vt:variant>
        <vt:lpwstr>_Toc439617003</vt:lpwstr>
      </vt:variant>
      <vt:variant>
        <vt:i4>1376316</vt:i4>
      </vt:variant>
      <vt:variant>
        <vt:i4>131</vt:i4>
      </vt:variant>
      <vt:variant>
        <vt:i4>0</vt:i4>
      </vt:variant>
      <vt:variant>
        <vt:i4>5</vt:i4>
      </vt:variant>
      <vt:variant>
        <vt:lpwstr/>
      </vt:variant>
      <vt:variant>
        <vt:lpwstr>_Toc439617002</vt:lpwstr>
      </vt:variant>
      <vt:variant>
        <vt:i4>1376316</vt:i4>
      </vt:variant>
      <vt:variant>
        <vt:i4>125</vt:i4>
      </vt:variant>
      <vt:variant>
        <vt:i4>0</vt:i4>
      </vt:variant>
      <vt:variant>
        <vt:i4>5</vt:i4>
      </vt:variant>
      <vt:variant>
        <vt:lpwstr/>
      </vt:variant>
      <vt:variant>
        <vt:lpwstr>_Toc439617001</vt:lpwstr>
      </vt:variant>
      <vt:variant>
        <vt:i4>1376316</vt:i4>
      </vt:variant>
      <vt:variant>
        <vt:i4>119</vt:i4>
      </vt:variant>
      <vt:variant>
        <vt:i4>0</vt:i4>
      </vt:variant>
      <vt:variant>
        <vt:i4>5</vt:i4>
      </vt:variant>
      <vt:variant>
        <vt:lpwstr/>
      </vt:variant>
      <vt:variant>
        <vt:lpwstr>_Toc439617000</vt:lpwstr>
      </vt:variant>
      <vt:variant>
        <vt:i4>1900597</vt:i4>
      </vt:variant>
      <vt:variant>
        <vt:i4>113</vt:i4>
      </vt:variant>
      <vt:variant>
        <vt:i4>0</vt:i4>
      </vt:variant>
      <vt:variant>
        <vt:i4>5</vt:i4>
      </vt:variant>
      <vt:variant>
        <vt:lpwstr/>
      </vt:variant>
      <vt:variant>
        <vt:lpwstr>_Toc439616999</vt:lpwstr>
      </vt:variant>
      <vt:variant>
        <vt:i4>1900597</vt:i4>
      </vt:variant>
      <vt:variant>
        <vt:i4>107</vt:i4>
      </vt:variant>
      <vt:variant>
        <vt:i4>0</vt:i4>
      </vt:variant>
      <vt:variant>
        <vt:i4>5</vt:i4>
      </vt:variant>
      <vt:variant>
        <vt:lpwstr/>
      </vt:variant>
      <vt:variant>
        <vt:lpwstr>_Toc439616998</vt:lpwstr>
      </vt:variant>
      <vt:variant>
        <vt:i4>1900597</vt:i4>
      </vt:variant>
      <vt:variant>
        <vt:i4>101</vt:i4>
      </vt:variant>
      <vt:variant>
        <vt:i4>0</vt:i4>
      </vt:variant>
      <vt:variant>
        <vt:i4>5</vt:i4>
      </vt:variant>
      <vt:variant>
        <vt:lpwstr/>
      </vt:variant>
      <vt:variant>
        <vt:lpwstr>_Toc439616997</vt:lpwstr>
      </vt:variant>
      <vt:variant>
        <vt:i4>1900597</vt:i4>
      </vt:variant>
      <vt:variant>
        <vt:i4>95</vt:i4>
      </vt:variant>
      <vt:variant>
        <vt:i4>0</vt:i4>
      </vt:variant>
      <vt:variant>
        <vt:i4>5</vt:i4>
      </vt:variant>
      <vt:variant>
        <vt:lpwstr/>
      </vt:variant>
      <vt:variant>
        <vt:lpwstr>_Toc439616996</vt:lpwstr>
      </vt:variant>
      <vt:variant>
        <vt:i4>1900597</vt:i4>
      </vt:variant>
      <vt:variant>
        <vt:i4>89</vt:i4>
      </vt:variant>
      <vt:variant>
        <vt:i4>0</vt:i4>
      </vt:variant>
      <vt:variant>
        <vt:i4>5</vt:i4>
      </vt:variant>
      <vt:variant>
        <vt:lpwstr/>
      </vt:variant>
      <vt:variant>
        <vt:lpwstr>_Toc439616995</vt:lpwstr>
      </vt:variant>
      <vt:variant>
        <vt:i4>1900597</vt:i4>
      </vt:variant>
      <vt:variant>
        <vt:i4>83</vt:i4>
      </vt:variant>
      <vt:variant>
        <vt:i4>0</vt:i4>
      </vt:variant>
      <vt:variant>
        <vt:i4>5</vt:i4>
      </vt:variant>
      <vt:variant>
        <vt:lpwstr/>
      </vt:variant>
      <vt:variant>
        <vt:lpwstr>_Toc439616994</vt:lpwstr>
      </vt:variant>
      <vt:variant>
        <vt:i4>1900597</vt:i4>
      </vt:variant>
      <vt:variant>
        <vt:i4>77</vt:i4>
      </vt:variant>
      <vt:variant>
        <vt:i4>0</vt:i4>
      </vt:variant>
      <vt:variant>
        <vt:i4>5</vt:i4>
      </vt:variant>
      <vt:variant>
        <vt:lpwstr/>
      </vt:variant>
      <vt:variant>
        <vt:lpwstr>_Toc439616993</vt:lpwstr>
      </vt:variant>
      <vt:variant>
        <vt:i4>1900597</vt:i4>
      </vt:variant>
      <vt:variant>
        <vt:i4>71</vt:i4>
      </vt:variant>
      <vt:variant>
        <vt:i4>0</vt:i4>
      </vt:variant>
      <vt:variant>
        <vt:i4>5</vt:i4>
      </vt:variant>
      <vt:variant>
        <vt:lpwstr/>
      </vt:variant>
      <vt:variant>
        <vt:lpwstr>_Toc439616992</vt:lpwstr>
      </vt:variant>
      <vt:variant>
        <vt:i4>1900597</vt:i4>
      </vt:variant>
      <vt:variant>
        <vt:i4>65</vt:i4>
      </vt:variant>
      <vt:variant>
        <vt:i4>0</vt:i4>
      </vt:variant>
      <vt:variant>
        <vt:i4>5</vt:i4>
      </vt:variant>
      <vt:variant>
        <vt:lpwstr/>
      </vt:variant>
      <vt:variant>
        <vt:lpwstr>_Toc439616991</vt:lpwstr>
      </vt:variant>
      <vt:variant>
        <vt:i4>1900597</vt:i4>
      </vt:variant>
      <vt:variant>
        <vt:i4>59</vt:i4>
      </vt:variant>
      <vt:variant>
        <vt:i4>0</vt:i4>
      </vt:variant>
      <vt:variant>
        <vt:i4>5</vt:i4>
      </vt:variant>
      <vt:variant>
        <vt:lpwstr/>
      </vt:variant>
      <vt:variant>
        <vt:lpwstr>_Toc439616990</vt:lpwstr>
      </vt:variant>
      <vt:variant>
        <vt:i4>1835061</vt:i4>
      </vt:variant>
      <vt:variant>
        <vt:i4>53</vt:i4>
      </vt:variant>
      <vt:variant>
        <vt:i4>0</vt:i4>
      </vt:variant>
      <vt:variant>
        <vt:i4>5</vt:i4>
      </vt:variant>
      <vt:variant>
        <vt:lpwstr/>
      </vt:variant>
      <vt:variant>
        <vt:lpwstr>_Toc439616989</vt:lpwstr>
      </vt:variant>
      <vt:variant>
        <vt:i4>1835061</vt:i4>
      </vt:variant>
      <vt:variant>
        <vt:i4>47</vt:i4>
      </vt:variant>
      <vt:variant>
        <vt:i4>0</vt:i4>
      </vt:variant>
      <vt:variant>
        <vt:i4>5</vt:i4>
      </vt:variant>
      <vt:variant>
        <vt:lpwstr/>
      </vt:variant>
      <vt:variant>
        <vt:lpwstr>_Toc439616988</vt:lpwstr>
      </vt:variant>
      <vt:variant>
        <vt:i4>1835061</vt:i4>
      </vt:variant>
      <vt:variant>
        <vt:i4>41</vt:i4>
      </vt:variant>
      <vt:variant>
        <vt:i4>0</vt:i4>
      </vt:variant>
      <vt:variant>
        <vt:i4>5</vt:i4>
      </vt:variant>
      <vt:variant>
        <vt:lpwstr/>
      </vt:variant>
      <vt:variant>
        <vt:lpwstr>_Toc439616987</vt:lpwstr>
      </vt:variant>
      <vt:variant>
        <vt:i4>1835061</vt:i4>
      </vt:variant>
      <vt:variant>
        <vt:i4>35</vt:i4>
      </vt:variant>
      <vt:variant>
        <vt:i4>0</vt:i4>
      </vt:variant>
      <vt:variant>
        <vt:i4>5</vt:i4>
      </vt:variant>
      <vt:variant>
        <vt:lpwstr/>
      </vt:variant>
      <vt:variant>
        <vt:lpwstr>_Toc439616986</vt:lpwstr>
      </vt:variant>
      <vt:variant>
        <vt:i4>1966139</vt:i4>
      </vt:variant>
      <vt:variant>
        <vt:i4>26</vt:i4>
      </vt:variant>
      <vt:variant>
        <vt:i4>0</vt:i4>
      </vt:variant>
      <vt:variant>
        <vt:i4>5</vt:i4>
      </vt:variant>
      <vt:variant>
        <vt:lpwstr/>
      </vt:variant>
      <vt:variant>
        <vt:lpwstr>_Toc374552994</vt:lpwstr>
      </vt:variant>
      <vt:variant>
        <vt:i4>1966139</vt:i4>
      </vt:variant>
      <vt:variant>
        <vt:i4>20</vt:i4>
      </vt:variant>
      <vt:variant>
        <vt:i4>0</vt:i4>
      </vt:variant>
      <vt:variant>
        <vt:i4>5</vt:i4>
      </vt:variant>
      <vt:variant>
        <vt:lpwstr/>
      </vt:variant>
      <vt:variant>
        <vt:lpwstr>_Toc374552993</vt:lpwstr>
      </vt:variant>
      <vt:variant>
        <vt:i4>1966139</vt:i4>
      </vt:variant>
      <vt:variant>
        <vt:i4>14</vt:i4>
      </vt:variant>
      <vt:variant>
        <vt:i4>0</vt:i4>
      </vt:variant>
      <vt:variant>
        <vt:i4>5</vt:i4>
      </vt:variant>
      <vt:variant>
        <vt:lpwstr/>
      </vt:variant>
      <vt:variant>
        <vt:lpwstr>_Toc374552992</vt:lpwstr>
      </vt:variant>
      <vt:variant>
        <vt:i4>1966139</vt:i4>
      </vt:variant>
      <vt:variant>
        <vt:i4>8</vt:i4>
      </vt:variant>
      <vt:variant>
        <vt:i4>0</vt:i4>
      </vt:variant>
      <vt:variant>
        <vt:i4>5</vt:i4>
      </vt:variant>
      <vt:variant>
        <vt:lpwstr/>
      </vt:variant>
      <vt:variant>
        <vt:lpwstr>_Toc374552991</vt:lpwstr>
      </vt:variant>
      <vt:variant>
        <vt:i4>1966139</vt:i4>
      </vt:variant>
      <vt:variant>
        <vt:i4>2</vt:i4>
      </vt:variant>
      <vt:variant>
        <vt:i4>0</vt:i4>
      </vt:variant>
      <vt:variant>
        <vt:i4>5</vt:i4>
      </vt:variant>
      <vt:variant>
        <vt:lpwstr/>
      </vt:variant>
      <vt:variant>
        <vt:lpwstr>_Toc374552990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 Individual 2015_Bulgarian</dc:title>
  <dc:creator>IAndonov</dc:creator>
  <cp:lastModifiedBy>george</cp:lastModifiedBy>
  <cp:revision>51</cp:revision>
  <cp:lastPrinted>2020-04-10T07:48:00Z</cp:lastPrinted>
  <dcterms:created xsi:type="dcterms:W3CDTF">2020-03-06T08:10:00Z</dcterms:created>
  <dcterms:modified xsi:type="dcterms:W3CDTF">2020-05-12T07:17:00Z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MGMW3Function">
    <vt:lpwstr>Audit;</vt:lpwstr>
  </property>
  <property fmtid="{D5CDD505-2E9C-101B-9397-08002B2CF9AE}" pid="3" name="KPMGMW3Service">
    <vt:lpwstr>Audit;</vt:lpwstr>
  </property>
  <property fmtid="{D5CDD505-2E9C-101B-9397-08002B2CF9AE}" pid="4" name="KPMGMW3SubService">
    <vt:lpwstr/>
  </property>
  <property fmtid="{D5CDD505-2E9C-101B-9397-08002B2CF9AE}" pid="5" name="KPMGMW3Sector">
    <vt:lpwstr/>
  </property>
  <property fmtid="{D5CDD505-2E9C-101B-9397-08002B2CF9AE}" pid="6" name="ContentType">
    <vt:lpwstr>KPMG Microweb 3 Document</vt:lpwstr>
  </property>
  <property fmtid="{D5CDD505-2E9C-101B-9397-08002B2CF9AE}" pid="7" name="KPMGMW3SubSector">
    <vt:lpwstr/>
  </property>
</Properties>
</file>